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788B72">
      <w:pPr>
        <w:snapToGrid w:val="0"/>
        <w:spacing w:after="312" w:afterLines="100" w:line="560" w:lineRule="exact"/>
        <w:rPr>
          <w:rFonts w:ascii="黑体" w:hAnsi="黑体" w:eastAsia="黑体" w:cs="Times New Roman"/>
          <w:bCs/>
          <w:sz w:val="32"/>
          <w:szCs w:val="32"/>
        </w:rPr>
      </w:pPr>
      <w:r>
        <w:rPr>
          <w:rFonts w:hint="eastAsia" w:ascii="黑体" w:hAnsi="黑体" w:eastAsia="黑体" w:cs="Times New Roman"/>
          <w:bCs/>
          <w:sz w:val="32"/>
          <w:szCs w:val="32"/>
        </w:rPr>
        <w:t>附件1</w:t>
      </w:r>
    </w:p>
    <w:p w14:paraId="5E8A6A81">
      <w:pPr>
        <w:snapToGrid w:val="0"/>
        <w:spacing w:after="312" w:afterLines="100" w:line="560" w:lineRule="exact"/>
        <w:rPr>
          <w:rFonts w:ascii="Times New Roman" w:hAnsi="Times New Roman" w:eastAsia="黑体" w:cs="Times New Roman"/>
          <w:bCs/>
          <w:sz w:val="32"/>
          <w:szCs w:val="32"/>
        </w:rPr>
      </w:pPr>
    </w:p>
    <w:p w14:paraId="57A13B38">
      <w:pPr>
        <w:snapToGrid w:val="0"/>
        <w:spacing w:after="312" w:afterLines="100" w:line="560" w:lineRule="exact"/>
        <w:rPr>
          <w:rFonts w:ascii="Times New Roman" w:hAnsi="Times New Roman" w:eastAsia="黑体" w:cs="Times New Roman"/>
          <w:bCs/>
          <w:sz w:val="32"/>
          <w:szCs w:val="32"/>
        </w:rPr>
      </w:pPr>
    </w:p>
    <w:p w14:paraId="1CD9B8AA">
      <w:pPr>
        <w:snapToGrid w:val="0"/>
        <w:spacing w:line="288" w:lineRule="auto"/>
        <w:jc w:val="center"/>
        <w:rPr>
          <w:rFonts w:hint="eastAsia" w:ascii="Times New Roman" w:hAnsi="Times New Roman" w:eastAsia="黑体" w:cs="Times New Roman"/>
          <w:b/>
          <w:bCs/>
          <w:sz w:val="72"/>
          <w:szCs w:val="72"/>
        </w:rPr>
      </w:pPr>
    </w:p>
    <w:p w14:paraId="179C7AD9">
      <w:pPr>
        <w:snapToGrid w:val="0"/>
        <w:spacing w:line="288" w:lineRule="auto"/>
        <w:jc w:val="center"/>
        <w:rPr>
          <w:rFonts w:hint="eastAsia" w:ascii="Times New Roman" w:hAnsi="Times New Roman" w:eastAsia="黑体" w:cs="Times New Roman"/>
          <w:b/>
          <w:bCs/>
          <w:sz w:val="72"/>
          <w:szCs w:val="72"/>
        </w:rPr>
      </w:pPr>
    </w:p>
    <w:p w14:paraId="57A13B3A">
      <w:pPr>
        <w:snapToGrid w:val="0"/>
        <w:spacing w:line="288" w:lineRule="auto"/>
        <w:jc w:val="center"/>
        <w:rPr>
          <w:rFonts w:ascii="Times New Roman" w:hAnsi="Times New Roman" w:eastAsia="黑体" w:cs="Times New Roman"/>
          <w:b/>
          <w:bCs/>
          <w:sz w:val="72"/>
          <w:szCs w:val="72"/>
        </w:rPr>
      </w:pPr>
      <w:r>
        <w:rPr>
          <w:rFonts w:hint="eastAsia" w:ascii="Times New Roman" w:hAnsi="Times New Roman" w:eastAsia="黑体" w:cs="Times New Roman"/>
          <w:b/>
          <w:bCs/>
          <w:sz w:val="72"/>
          <w:szCs w:val="72"/>
        </w:rPr>
        <w:t>化妆品原料数据使用指南</w:t>
      </w:r>
    </w:p>
    <w:p w14:paraId="6FD4427D">
      <w:pPr>
        <w:widowControl/>
        <w:jc w:val="center"/>
        <w:rPr>
          <w:rFonts w:ascii="Times New Roman" w:hAnsi="Times New Roman" w:eastAsia="黑体" w:cs="Times New Roman"/>
          <w:b/>
          <w:sz w:val="72"/>
          <w:szCs w:val="72"/>
        </w:rPr>
      </w:pPr>
    </w:p>
    <w:p w14:paraId="3D07B58A">
      <w:pPr>
        <w:widowControl/>
        <w:spacing w:line="360" w:lineRule="auto"/>
        <w:jc w:val="center"/>
        <w:rPr>
          <w:rFonts w:ascii="Times New Roman" w:hAnsi="Times New Roman" w:eastAsia="黑体" w:cs="Times New Roman"/>
          <w:b/>
          <w:sz w:val="72"/>
          <w:szCs w:val="72"/>
        </w:rPr>
      </w:pPr>
    </w:p>
    <w:p w14:paraId="6BCC39FC">
      <w:pPr>
        <w:widowControl/>
        <w:spacing w:line="360" w:lineRule="auto"/>
        <w:jc w:val="center"/>
        <w:rPr>
          <w:rFonts w:ascii="Times New Roman" w:hAnsi="Times New Roman" w:eastAsia="黑体" w:cs="Times New Roman"/>
          <w:b/>
          <w:sz w:val="72"/>
          <w:szCs w:val="72"/>
        </w:rPr>
      </w:pPr>
    </w:p>
    <w:p w14:paraId="14D963FF">
      <w:pPr>
        <w:widowControl/>
        <w:spacing w:line="360" w:lineRule="auto"/>
        <w:jc w:val="center"/>
        <w:rPr>
          <w:rFonts w:ascii="Times New Roman" w:hAnsi="Times New Roman" w:eastAsia="黑体" w:cs="Times New Roman"/>
          <w:b/>
          <w:sz w:val="72"/>
          <w:szCs w:val="72"/>
        </w:rPr>
      </w:pPr>
    </w:p>
    <w:p w14:paraId="47CF47A7">
      <w:pPr>
        <w:widowControl/>
        <w:spacing w:line="360" w:lineRule="auto"/>
        <w:jc w:val="center"/>
        <w:rPr>
          <w:rFonts w:ascii="Times New Roman" w:hAnsi="Times New Roman" w:eastAsia="黑体" w:cs="Times New Roman"/>
          <w:b/>
          <w:sz w:val="72"/>
          <w:szCs w:val="72"/>
        </w:rPr>
      </w:pPr>
    </w:p>
    <w:p w14:paraId="75FCA31D">
      <w:pPr>
        <w:widowControl/>
        <w:spacing w:line="360" w:lineRule="auto"/>
        <w:jc w:val="center"/>
        <w:rPr>
          <w:rFonts w:ascii="Times New Roman" w:hAnsi="Times New Roman" w:eastAsia="黑体" w:cs="Times New Roman"/>
          <w:b/>
          <w:sz w:val="72"/>
          <w:szCs w:val="72"/>
        </w:rPr>
      </w:pPr>
    </w:p>
    <w:p w14:paraId="780A7A61">
      <w:pPr>
        <w:widowControl/>
        <w:jc w:val="center"/>
        <w:rPr>
          <w:rFonts w:ascii="楷体" w:hAnsi="楷体" w:eastAsia="楷体" w:cs="Times New Roman"/>
          <w:sz w:val="44"/>
          <w:szCs w:val="44"/>
        </w:rPr>
      </w:pPr>
      <w:r>
        <w:rPr>
          <w:rFonts w:hint="eastAsia" w:ascii="楷体" w:hAnsi="楷体" w:eastAsia="楷体" w:cs="Times New Roman"/>
          <w:sz w:val="44"/>
          <w:szCs w:val="44"/>
        </w:rPr>
        <w:t>中国药品检定研究院</w:t>
      </w:r>
    </w:p>
    <w:p w14:paraId="57A13B45">
      <w:pPr>
        <w:snapToGrid w:val="0"/>
        <w:spacing w:line="360" w:lineRule="auto"/>
        <w:jc w:val="center"/>
        <w:rPr>
          <w:rFonts w:ascii="Times New Roman" w:hAnsi="Times New Roman" w:eastAsia="楷体" w:cs="Times New Roman"/>
          <w:sz w:val="44"/>
          <w:szCs w:val="44"/>
        </w:rPr>
      </w:pPr>
    </w:p>
    <w:p w14:paraId="7D4CB8AB">
      <w:pPr>
        <w:snapToGrid w:val="0"/>
        <w:spacing w:line="360" w:lineRule="auto"/>
        <w:jc w:val="center"/>
        <w:rPr>
          <w:rFonts w:ascii="Times New Roman" w:hAnsi="Times New Roman" w:eastAsia="楷体" w:cs="Times New Roman"/>
          <w:sz w:val="44"/>
          <w:szCs w:val="44"/>
        </w:rPr>
      </w:pPr>
    </w:p>
    <w:p w14:paraId="6264E2DB">
      <w:pPr>
        <w:snapToGrid w:val="0"/>
        <w:spacing w:line="360" w:lineRule="auto"/>
        <w:jc w:val="center"/>
        <w:rPr>
          <w:rFonts w:ascii="Times New Roman" w:hAnsi="Times New Roman" w:eastAsia="楷体" w:cs="Times New Roman"/>
          <w:sz w:val="44"/>
          <w:szCs w:val="44"/>
        </w:rPr>
        <w:sectPr>
          <w:footerReference r:id="rId3" w:type="default"/>
          <w:pgSz w:w="11906" w:h="16838"/>
          <w:pgMar w:top="1440" w:right="1800" w:bottom="1440" w:left="1800" w:header="851" w:footer="992" w:gutter="0"/>
          <w:cols w:space="425" w:num="1"/>
          <w:docGrid w:type="lines" w:linePitch="312" w:charSpace="0"/>
        </w:sectPr>
      </w:pPr>
    </w:p>
    <w:sdt>
      <w:sdtPr>
        <w:rPr>
          <w:rFonts w:ascii="Times New Roman" w:hAnsi="Times New Roman" w:cs="Times New Roman" w:eastAsiaTheme="minorEastAsia"/>
          <w:color w:val="auto"/>
          <w:kern w:val="2"/>
          <w:sz w:val="21"/>
          <w:szCs w:val="22"/>
          <w:lang w:val="zh-CN"/>
        </w:rPr>
        <w:id w:val="-1360812175"/>
        <w:docPartObj>
          <w:docPartGallery w:val="Table of Contents"/>
          <w:docPartUnique/>
        </w:docPartObj>
      </w:sdtPr>
      <w:sdtEndPr>
        <w:rPr>
          <w:rFonts w:ascii="Times New Roman" w:hAnsi="Times New Roman" w:eastAsia="仿宋_GB2312" w:cs="Times New Roman"/>
          <w:b/>
          <w:bCs/>
          <w:color w:val="auto"/>
          <w:kern w:val="2"/>
          <w:sz w:val="32"/>
          <w:szCs w:val="32"/>
          <w:lang w:val="zh-CN"/>
        </w:rPr>
      </w:sdtEndPr>
      <w:sdtContent>
        <w:p w14:paraId="5645CE26">
          <w:pPr>
            <w:pStyle w:val="25"/>
            <w:spacing w:before="0" w:after="312" w:afterLines="100" w:line="240" w:lineRule="auto"/>
            <w:jc w:val="center"/>
            <w:rPr>
              <w:rFonts w:ascii="Times New Roman" w:hAnsi="Times New Roman" w:cs="Times New Roman" w:eastAsiaTheme="minorEastAsia"/>
              <w:color w:val="auto"/>
              <w:kern w:val="2"/>
              <w:sz w:val="21"/>
              <w:szCs w:val="22"/>
              <w:lang w:val="zh-CN"/>
            </w:rPr>
          </w:pPr>
        </w:p>
        <w:p w14:paraId="57B66054">
          <w:pPr>
            <w:pStyle w:val="25"/>
            <w:spacing w:before="0" w:after="312" w:afterLines="100" w:line="240" w:lineRule="auto"/>
            <w:jc w:val="center"/>
            <w:rPr>
              <w:rFonts w:ascii="Times New Roman" w:hAnsi="Times New Roman" w:eastAsia="黑体" w:cs="Times New Roman"/>
              <w:b/>
              <w:bCs/>
              <w:color w:val="auto"/>
              <w:sz w:val="44"/>
              <w:szCs w:val="44"/>
            </w:rPr>
          </w:pPr>
          <w:r>
            <w:rPr>
              <w:rFonts w:hint="eastAsia" w:ascii="方正小标宋简体" w:hAnsi="Times New Roman" w:eastAsia="方正小标宋简体" w:cs="Times New Roman"/>
              <w:color w:val="auto"/>
              <w:sz w:val="44"/>
              <w:szCs w:val="44"/>
              <w:lang w:val="zh-CN"/>
            </w:rPr>
            <w:t>目</w:t>
          </w:r>
          <w:r>
            <w:rPr>
              <w:rFonts w:ascii="方正小标宋简体" w:hAnsi="Times New Roman" w:eastAsia="方正小标宋简体" w:cs="Times New Roman"/>
              <w:color w:val="auto"/>
              <w:sz w:val="44"/>
              <w:szCs w:val="44"/>
              <w:lang w:val="zh-CN"/>
            </w:rPr>
            <w:t xml:space="preserve">  </w:t>
          </w:r>
          <w:r>
            <w:rPr>
              <w:rFonts w:hint="eastAsia" w:ascii="方正小标宋简体" w:hAnsi="Times New Roman" w:eastAsia="方正小标宋简体" w:cs="Times New Roman"/>
              <w:color w:val="auto"/>
              <w:sz w:val="44"/>
              <w:szCs w:val="44"/>
              <w:lang w:val="zh-CN"/>
            </w:rPr>
            <w:t>录</w:t>
          </w:r>
        </w:p>
        <w:p w14:paraId="1FCFC13A">
          <w:pPr>
            <w:pStyle w:val="9"/>
            <w:spacing w:line="800" w:lineRule="exact"/>
            <w:rPr>
              <w:rFonts w:ascii="黑体" w:hAnsi="黑体" w:eastAsia="黑体" w:cstheme="minorBidi"/>
              <w:kern w:val="2"/>
              <w:sz w:val="36"/>
              <w:szCs w:val="36"/>
            </w:rPr>
          </w:pPr>
          <w:r>
            <w:rPr>
              <w:rFonts w:ascii="Times New Roman" w:hAnsi="Times New Roman" w:eastAsia="仿宋_GB2312"/>
              <w:sz w:val="32"/>
              <w:szCs w:val="32"/>
            </w:rPr>
            <w:fldChar w:fldCharType="begin"/>
          </w:r>
          <w:r>
            <w:rPr>
              <w:rFonts w:ascii="Times New Roman" w:hAnsi="Times New Roman" w:eastAsia="仿宋_GB2312"/>
              <w:sz w:val="32"/>
              <w:szCs w:val="32"/>
            </w:rPr>
            <w:instrText xml:space="preserve"> TOC \o "1-3" \h \z \u </w:instrText>
          </w:r>
          <w:r>
            <w:rPr>
              <w:rFonts w:ascii="Times New Roman" w:hAnsi="Times New Roman" w:eastAsia="仿宋_GB2312"/>
              <w:sz w:val="32"/>
              <w:szCs w:val="32"/>
            </w:rPr>
            <w:fldChar w:fldCharType="separate"/>
          </w:r>
          <w:r>
            <w:fldChar w:fldCharType="begin"/>
          </w:r>
          <w:r>
            <w:instrText xml:space="preserve"> HYPERLINK \l "_Toc237422422" </w:instrText>
          </w:r>
          <w:r>
            <w:fldChar w:fldCharType="separate"/>
          </w:r>
          <w:r>
            <w:rPr>
              <w:rStyle w:val="15"/>
              <w:rFonts w:ascii="黑体" w:hAnsi="黑体" w:eastAsia="黑体"/>
              <w:color w:val="auto"/>
              <w:sz w:val="36"/>
              <w:szCs w:val="36"/>
            </w:rPr>
            <w:t>一、主要的原料数据类型</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_Toc237422422 \h </w:instrText>
          </w:r>
          <w:r>
            <w:rPr>
              <w:rFonts w:ascii="黑体" w:hAnsi="黑体" w:eastAsia="黑体"/>
              <w:sz w:val="36"/>
              <w:szCs w:val="36"/>
            </w:rPr>
            <w:fldChar w:fldCharType="separate"/>
          </w:r>
          <w:r>
            <w:rPr>
              <w:rFonts w:ascii="黑体" w:hAnsi="黑体" w:eastAsia="黑体"/>
              <w:sz w:val="36"/>
              <w:szCs w:val="36"/>
            </w:rPr>
            <w:t>3</w:t>
          </w:r>
          <w:r>
            <w:rPr>
              <w:rFonts w:ascii="黑体" w:hAnsi="黑体" w:eastAsia="黑体"/>
              <w:sz w:val="36"/>
              <w:szCs w:val="36"/>
            </w:rPr>
            <w:fldChar w:fldCharType="end"/>
          </w:r>
          <w:r>
            <w:rPr>
              <w:rFonts w:ascii="黑体" w:hAnsi="黑体" w:eastAsia="黑体"/>
              <w:sz w:val="36"/>
              <w:szCs w:val="36"/>
            </w:rPr>
            <w:fldChar w:fldCharType="end"/>
          </w:r>
        </w:p>
        <w:p w14:paraId="00348E10">
          <w:pPr>
            <w:pStyle w:val="9"/>
            <w:spacing w:line="800" w:lineRule="exact"/>
            <w:rPr>
              <w:rFonts w:ascii="黑体" w:hAnsi="黑体" w:eastAsia="黑体" w:cstheme="minorBidi"/>
              <w:kern w:val="2"/>
              <w:sz w:val="36"/>
              <w:szCs w:val="36"/>
            </w:rPr>
          </w:pPr>
          <w:r>
            <w:fldChar w:fldCharType="begin"/>
          </w:r>
          <w:r>
            <w:instrText xml:space="preserve"> HYPERLINK \l "_Toc237422423" </w:instrText>
          </w:r>
          <w:r>
            <w:fldChar w:fldCharType="separate"/>
          </w:r>
          <w:r>
            <w:rPr>
              <w:rStyle w:val="15"/>
              <w:rFonts w:ascii="黑体" w:hAnsi="黑体" w:eastAsia="黑体"/>
              <w:color w:val="auto"/>
              <w:sz w:val="36"/>
              <w:szCs w:val="36"/>
            </w:rPr>
            <w:t>二、数据使用要求和证明材料</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_Toc237422423 \h </w:instrText>
          </w:r>
          <w:r>
            <w:rPr>
              <w:rFonts w:ascii="黑体" w:hAnsi="黑体" w:eastAsia="黑体"/>
              <w:sz w:val="36"/>
              <w:szCs w:val="36"/>
            </w:rPr>
            <w:fldChar w:fldCharType="separate"/>
          </w:r>
          <w:r>
            <w:rPr>
              <w:rFonts w:ascii="黑体" w:hAnsi="黑体" w:eastAsia="黑体"/>
              <w:sz w:val="36"/>
              <w:szCs w:val="36"/>
            </w:rPr>
            <w:t>4</w:t>
          </w:r>
          <w:r>
            <w:rPr>
              <w:rFonts w:ascii="黑体" w:hAnsi="黑体" w:eastAsia="黑体"/>
              <w:sz w:val="36"/>
              <w:szCs w:val="36"/>
            </w:rPr>
            <w:fldChar w:fldCharType="end"/>
          </w:r>
          <w:r>
            <w:rPr>
              <w:rFonts w:ascii="黑体" w:hAnsi="黑体" w:eastAsia="黑体"/>
              <w:sz w:val="36"/>
              <w:szCs w:val="36"/>
            </w:rPr>
            <w:fldChar w:fldCharType="end"/>
          </w:r>
        </w:p>
        <w:p w14:paraId="7B3AB3EE">
          <w:pPr>
            <w:pStyle w:val="9"/>
            <w:spacing w:line="800" w:lineRule="exact"/>
            <w:rPr>
              <w:rFonts w:cstheme="minorBidi"/>
              <w:kern w:val="2"/>
              <w:sz w:val="21"/>
            </w:rPr>
          </w:pPr>
          <w:r>
            <w:fldChar w:fldCharType="begin"/>
          </w:r>
          <w:r>
            <w:instrText xml:space="preserve"> HYPERLINK \l "_Toc237422424" </w:instrText>
          </w:r>
          <w:r>
            <w:fldChar w:fldCharType="separate"/>
          </w:r>
          <w:r>
            <w:rPr>
              <w:rStyle w:val="15"/>
              <w:rFonts w:ascii="黑体" w:hAnsi="黑体" w:eastAsia="黑体"/>
              <w:color w:val="auto"/>
              <w:sz w:val="36"/>
              <w:szCs w:val="36"/>
            </w:rPr>
            <w:t>三、其他</w:t>
          </w:r>
          <w:r>
            <w:rPr>
              <w:rFonts w:ascii="黑体" w:hAnsi="黑体" w:eastAsia="黑体"/>
              <w:sz w:val="36"/>
              <w:szCs w:val="36"/>
            </w:rPr>
            <w:tab/>
          </w:r>
          <w:r>
            <w:rPr>
              <w:rFonts w:ascii="黑体" w:hAnsi="黑体" w:eastAsia="黑体"/>
              <w:sz w:val="36"/>
              <w:szCs w:val="36"/>
            </w:rPr>
            <w:fldChar w:fldCharType="begin"/>
          </w:r>
          <w:r>
            <w:rPr>
              <w:rFonts w:ascii="黑体" w:hAnsi="黑体" w:eastAsia="黑体"/>
              <w:sz w:val="36"/>
              <w:szCs w:val="36"/>
            </w:rPr>
            <w:instrText xml:space="preserve"> PAGEREF _Toc237422424 \h </w:instrText>
          </w:r>
          <w:r>
            <w:rPr>
              <w:rFonts w:ascii="黑体" w:hAnsi="黑体" w:eastAsia="黑体"/>
              <w:sz w:val="36"/>
              <w:szCs w:val="36"/>
            </w:rPr>
            <w:fldChar w:fldCharType="separate"/>
          </w:r>
          <w:r>
            <w:rPr>
              <w:rFonts w:ascii="黑体" w:hAnsi="黑体" w:eastAsia="黑体"/>
              <w:sz w:val="36"/>
              <w:szCs w:val="36"/>
            </w:rPr>
            <w:t>7</w:t>
          </w:r>
          <w:r>
            <w:rPr>
              <w:rFonts w:ascii="黑体" w:hAnsi="黑体" w:eastAsia="黑体"/>
              <w:sz w:val="36"/>
              <w:szCs w:val="36"/>
            </w:rPr>
            <w:fldChar w:fldCharType="end"/>
          </w:r>
          <w:r>
            <w:rPr>
              <w:rFonts w:ascii="黑体" w:hAnsi="黑体" w:eastAsia="黑体"/>
              <w:sz w:val="36"/>
              <w:szCs w:val="36"/>
            </w:rPr>
            <w:fldChar w:fldCharType="end"/>
          </w:r>
        </w:p>
        <w:p w14:paraId="74F5376A">
          <w:pPr>
            <w:spacing w:line="800" w:lineRule="exact"/>
            <w:rPr>
              <w:rFonts w:ascii="Times New Roman" w:hAnsi="Times New Roman" w:eastAsia="仿宋_GB2312" w:cs="Times New Roman"/>
              <w:b/>
              <w:bCs/>
              <w:sz w:val="32"/>
              <w:szCs w:val="32"/>
              <w:lang w:val="zh-CN"/>
            </w:rPr>
          </w:pPr>
          <w:r>
            <w:rPr>
              <w:rFonts w:ascii="Times New Roman" w:hAnsi="Times New Roman" w:eastAsia="仿宋_GB2312" w:cs="Times New Roman"/>
              <w:bCs/>
              <w:sz w:val="32"/>
              <w:szCs w:val="32"/>
              <w:lang w:val="zh-CN"/>
            </w:rPr>
            <w:fldChar w:fldCharType="end"/>
          </w:r>
        </w:p>
      </w:sdtContent>
    </w:sdt>
    <w:p w14:paraId="2B63D601">
      <w:pPr>
        <w:snapToGrid w:val="0"/>
        <w:spacing w:line="360" w:lineRule="auto"/>
        <w:jc w:val="center"/>
        <w:rPr>
          <w:rFonts w:ascii="Times New Roman" w:hAnsi="Times New Roman" w:eastAsia="楷体" w:cs="Times New Roman"/>
          <w:sz w:val="44"/>
          <w:szCs w:val="44"/>
        </w:rPr>
        <w:sectPr>
          <w:pgSz w:w="11906" w:h="16838"/>
          <w:pgMar w:top="1440" w:right="1800" w:bottom="1440" w:left="1800" w:header="851" w:footer="992" w:gutter="0"/>
          <w:cols w:space="425" w:num="1"/>
          <w:docGrid w:type="lines" w:linePitch="312" w:charSpace="0"/>
        </w:sectPr>
      </w:pPr>
    </w:p>
    <w:p w14:paraId="076CE987">
      <w:pPr>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仿宋_GB2312" w:cs="Times New Roman"/>
          <w:bCs/>
          <w:kern w:val="0"/>
          <w:sz w:val="32"/>
          <w:szCs w:val="32"/>
        </w:rPr>
      </w:pPr>
      <w:r>
        <w:rPr>
          <w:rFonts w:hint="eastAsia" w:ascii="Times New Roman" w:hAnsi="Times New Roman" w:eastAsia="仿宋_GB2312" w:cs="Times New Roman"/>
          <w:sz w:val="32"/>
          <w:szCs w:val="32"/>
        </w:rPr>
        <w:t xml:space="preserve">    </w:t>
      </w:r>
      <w:r>
        <w:rPr>
          <w:rFonts w:ascii="Times New Roman" w:hAnsi="Times New Roman" w:eastAsia="仿宋_GB2312" w:cs="Times New Roman"/>
          <w:bCs/>
          <w:kern w:val="0"/>
          <w:sz w:val="32"/>
          <w:szCs w:val="32"/>
        </w:rPr>
        <w:t>为规范指导化妆品安全评估，根据《化妆品监督管理条例》《化妆品注册备案管理办法》《化妆品安全评估技术导则（2021年版）》（以下简称《导则》）以及《国家药监局关于发布优化化妆品安全评估管理若干措施的公告》（2024年第50号）等相关法律法规和规范性文件要求，制定本指南。</w:t>
      </w:r>
    </w:p>
    <w:p w14:paraId="57A13B4B">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本指南明确了化妆品注册人、备案人在开展安全评估时可采用的主要原料数据类型、使用要求和需要提供的证明材料。</w:t>
      </w:r>
      <w:r>
        <w:rPr>
          <w:rFonts w:ascii="Times New Roman" w:hAnsi="Times New Roman" w:eastAsia="仿宋_GB2312" w:cs="Times New Roman"/>
          <w:kern w:val="0"/>
          <w:sz w:val="32"/>
          <w:szCs w:val="32"/>
        </w:rPr>
        <w:t>化妆品注册人、备案人应基于产品配方体系，对收集的安全评估相关资料进行分析，包括产品和原料的不良反应、安全事件等，遵循证据权重的原则科学开展安全评估，履行企业主体责任，保证产品的安全性。</w:t>
      </w:r>
    </w:p>
    <w:p w14:paraId="57A13B4C">
      <w:pPr>
        <w:pStyle w:val="2"/>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Times New Roman" w:hAnsi="Times New Roman" w:eastAsia="黑体" w:cs="Times New Roman"/>
          <w:b w:val="0"/>
          <w:bCs w:val="0"/>
          <w:sz w:val="32"/>
          <w:szCs w:val="32"/>
        </w:rPr>
      </w:pPr>
      <w:bookmarkStart w:id="0" w:name="_Toc124498234"/>
      <w:bookmarkStart w:id="1" w:name="_Toc237422422"/>
      <w:r>
        <w:rPr>
          <w:rFonts w:ascii="Times New Roman" w:hAnsi="Times New Roman" w:eastAsia="黑体" w:cs="Times New Roman"/>
          <w:b w:val="0"/>
          <w:bCs w:val="0"/>
          <w:sz w:val="32"/>
          <w:szCs w:val="32"/>
        </w:rPr>
        <w:t>一、主要的</w:t>
      </w:r>
      <w:bookmarkEnd w:id="0"/>
      <w:r>
        <w:rPr>
          <w:rFonts w:ascii="Times New Roman" w:hAnsi="Times New Roman" w:eastAsia="黑体" w:cs="Times New Roman"/>
          <w:b w:val="0"/>
          <w:bCs w:val="0"/>
          <w:sz w:val="32"/>
          <w:szCs w:val="32"/>
        </w:rPr>
        <w:t>原料数据类型</w:t>
      </w:r>
      <w:bookmarkEnd w:id="1"/>
    </w:p>
    <w:p w14:paraId="5712531D">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pacing w:val="-6"/>
          <w:kern w:val="0"/>
          <w:sz w:val="32"/>
          <w:szCs w:val="32"/>
        </w:rPr>
      </w:pPr>
      <w:r>
        <w:rPr>
          <w:rFonts w:hint="eastAsia" w:ascii="Times New Roman" w:hAnsi="Times New Roman" w:eastAsia="仿宋_GB2312" w:cs="Times New Roman"/>
          <w:kern w:val="0"/>
          <w:sz w:val="32"/>
          <w:szCs w:val="32"/>
        </w:rPr>
        <w:t>（一）</w:t>
      </w:r>
      <w:r>
        <w:rPr>
          <w:rFonts w:hint="eastAsia" w:ascii="Times New Roman" w:hAnsi="Times New Roman" w:eastAsia="仿宋_GB2312" w:cs="Times New Roman"/>
          <w:spacing w:val="-6"/>
          <w:kern w:val="0"/>
          <w:sz w:val="32"/>
          <w:szCs w:val="32"/>
        </w:rPr>
        <w:t>《化妆品安全技术规范》（以下称《技术规范》）中的限用组分、准用防腐剂、准用防晒剂、准用着色剂和准用染发剂。</w:t>
      </w:r>
    </w:p>
    <w:p w14:paraId="24D94CA1">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（二）国际化妆品安全评估机构公布的评估结论。</w:t>
      </w:r>
    </w:p>
    <w:p w14:paraId="17FCC52B">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（三）世界卫生组织（</w:t>
      </w:r>
      <w:r>
        <w:rPr>
          <w:rFonts w:ascii="Times New Roman" w:hAnsi="Times New Roman" w:eastAsia="仿宋_GB2312" w:cs="Times New Roman"/>
          <w:kern w:val="0"/>
          <w:sz w:val="32"/>
          <w:szCs w:val="32"/>
        </w:rPr>
        <w:t>WHO</w:t>
      </w:r>
      <w:r>
        <w:rPr>
          <w:rFonts w:hint="eastAsia" w:ascii="Times New Roman" w:hAnsi="Times New Roman" w:eastAsia="仿宋_GB2312" w:cs="Times New Roman"/>
          <w:kern w:val="0"/>
          <w:sz w:val="32"/>
          <w:szCs w:val="32"/>
        </w:rPr>
        <w:t>）、联合国粮农组织（</w:t>
      </w:r>
      <w:r>
        <w:rPr>
          <w:rFonts w:ascii="Times New Roman" w:hAnsi="Times New Roman" w:eastAsia="仿宋_GB2312" w:cs="Times New Roman"/>
          <w:kern w:val="0"/>
          <w:sz w:val="32"/>
          <w:szCs w:val="32"/>
        </w:rPr>
        <w:t>FAO</w:t>
      </w:r>
      <w:r>
        <w:rPr>
          <w:rFonts w:hint="eastAsia" w:ascii="Times New Roman" w:hAnsi="Times New Roman" w:eastAsia="仿宋_GB2312" w:cs="Times New Roman"/>
          <w:kern w:val="0"/>
          <w:sz w:val="32"/>
          <w:szCs w:val="32"/>
        </w:rPr>
        <w:t>）等权威机构已公布的安全限量或结论。</w:t>
      </w:r>
    </w:p>
    <w:p w14:paraId="0FAC301E">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（四）监管部门公布的已上市产品原料使用信息。</w:t>
      </w:r>
    </w:p>
    <w:p w14:paraId="0B4C4903">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（五）原料</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年安全使用历史。</w:t>
      </w:r>
    </w:p>
    <w:p w14:paraId="3222615F">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（六）安全食用历史。</w:t>
      </w:r>
    </w:p>
    <w:p w14:paraId="17580179">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（七）结构和性质稳定的高分子聚合物（具有较高生物活性的原料除外）。</w:t>
      </w:r>
    </w:p>
    <w:p w14:paraId="57A13B4F">
      <w:pPr>
        <w:pStyle w:val="2"/>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Times New Roman" w:hAnsi="Times New Roman" w:eastAsia="黑体" w:cs="Times New Roman"/>
          <w:b w:val="0"/>
          <w:bCs w:val="0"/>
          <w:sz w:val="32"/>
          <w:szCs w:val="32"/>
        </w:rPr>
      </w:pPr>
      <w:bookmarkStart w:id="2" w:name="_Toc237422423"/>
      <w:r>
        <w:rPr>
          <w:rFonts w:hint="eastAsia" w:ascii="Times New Roman" w:hAnsi="Times New Roman" w:eastAsia="黑体" w:cs="Times New Roman"/>
          <w:b w:val="0"/>
          <w:bCs w:val="0"/>
          <w:sz w:val="32"/>
          <w:szCs w:val="32"/>
        </w:rPr>
        <w:t>二、数据使用要求和证明材料</w:t>
      </w:r>
      <w:bookmarkEnd w:id="2"/>
    </w:p>
    <w:p w14:paraId="58174E7D">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b w:val="0"/>
          <w:bCs w:val="0"/>
          <w:kern w:val="0"/>
          <w:sz w:val="32"/>
          <w:szCs w:val="32"/>
        </w:rPr>
      </w:pPr>
      <w:r>
        <w:rPr>
          <w:rFonts w:ascii="Times New Roman" w:hAnsi="Times New Roman" w:eastAsia="楷体_GB2312" w:cs="Times New Roman"/>
          <w:b w:val="0"/>
          <w:bCs w:val="0"/>
          <w:kern w:val="0"/>
          <w:sz w:val="32"/>
          <w:szCs w:val="32"/>
        </w:rPr>
        <w:t>（一）《技术规范》中的限用组分、准用防腐剂、准用防晒剂、准用着色剂和准用染发剂</w:t>
      </w:r>
    </w:p>
    <w:p w14:paraId="2EDB1497">
      <w:pPr>
        <w:pageBreakBefore w:val="0"/>
        <w:widowControl w:val="0"/>
        <w:kinsoku/>
        <w:wordWrap/>
        <w:overflowPunct/>
        <w:topLinePunct w:val="0"/>
        <w:autoSpaceDE/>
        <w:autoSpaceDN/>
        <w:bidi w:val="0"/>
        <w:adjustRightInd/>
        <w:snapToGrid/>
        <w:spacing w:line="560" w:lineRule="exact"/>
        <w:ind w:firstLine="616" w:firstLineChars="200"/>
        <w:textAlignment w:val="auto"/>
        <w:rPr>
          <w:rFonts w:ascii="Times New Roman" w:hAnsi="Times New Roman" w:eastAsia="仿宋_GB2312" w:cs="Times New Roman"/>
          <w:spacing w:val="-6"/>
          <w:kern w:val="0"/>
          <w:sz w:val="32"/>
          <w:szCs w:val="32"/>
        </w:rPr>
      </w:pPr>
      <w:r>
        <w:rPr>
          <w:rFonts w:hint="eastAsia" w:ascii="Times New Roman" w:hAnsi="Times New Roman" w:eastAsia="仿宋_GB2312" w:cs="Times New Roman"/>
          <w:spacing w:val="-6"/>
          <w:kern w:val="0"/>
          <w:sz w:val="32"/>
          <w:szCs w:val="32"/>
        </w:rPr>
        <w:t>使用《技术规范》中的限用组分、准用防腐剂、准用防晒剂、准用着色剂和准用染发剂列表中的原料，应满足《技术规范》要求。</w:t>
      </w:r>
    </w:p>
    <w:p w14:paraId="146A978B">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b w:val="0"/>
          <w:bCs w:val="0"/>
          <w:kern w:val="0"/>
          <w:sz w:val="32"/>
          <w:szCs w:val="32"/>
        </w:rPr>
      </w:pPr>
      <w:r>
        <w:rPr>
          <w:rFonts w:hint="eastAsia" w:ascii="Times New Roman" w:hAnsi="Times New Roman" w:eastAsia="楷体_GB2312" w:cs="Times New Roman"/>
          <w:b w:val="0"/>
          <w:bCs w:val="0"/>
          <w:kern w:val="0"/>
          <w:sz w:val="32"/>
          <w:szCs w:val="32"/>
        </w:rPr>
        <w:t>（二）国际化妆品安全评估机构公布的评估结论</w:t>
      </w:r>
    </w:p>
    <w:p w14:paraId="4ADD3563">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欧盟消费者委员会（</w:t>
      </w:r>
      <w:r>
        <w:rPr>
          <w:rFonts w:ascii="Times New Roman" w:hAnsi="Times New Roman" w:eastAsia="仿宋_GB2312" w:cs="Times New Roman"/>
          <w:kern w:val="0"/>
          <w:sz w:val="32"/>
          <w:szCs w:val="32"/>
        </w:rPr>
        <w:t>SCCS</w:t>
      </w:r>
      <w:r>
        <w:rPr>
          <w:rFonts w:hint="eastAsia" w:ascii="Times New Roman" w:hAnsi="Times New Roman" w:eastAsia="仿宋_GB2312" w:cs="Times New Roman"/>
          <w:kern w:val="0"/>
          <w:sz w:val="32"/>
          <w:szCs w:val="32"/>
        </w:rPr>
        <w:t>）、美国化妆品原料评价委员会（</w:t>
      </w:r>
      <w:r>
        <w:rPr>
          <w:rFonts w:ascii="Times New Roman" w:hAnsi="Times New Roman" w:eastAsia="仿宋_GB2312" w:cs="Times New Roman"/>
          <w:kern w:val="0"/>
          <w:sz w:val="32"/>
          <w:szCs w:val="32"/>
        </w:rPr>
        <w:t>CIR</w:t>
      </w:r>
      <w:r>
        <w:rPr>
          <w:rFonts w:hint="eastAsia" w:ascii="Times New Roman" w:hAnsi="Times New Roman" w:eastAsia="仿宋_GB2312" w:cs="Times New Roman"/>
          <w:kern w:val="0"/>
          <w:sz w:val="32"/>
          <w:szCs w:val="32"/>
        </w:rPr>
        <w:t>）以及其他国际化妆品安全评估机构已公布安全评估结论的原料，需对相关评估资料进行分析，在符合我国化妆品相关法规及使用条件下，可采用相关评估结论，对有限制使用条件的原料，应在满足限制条件的情况下采用其评估结论。不同的权威机构评估结果不一致时，根据数据的可靠性和相关性，科学合理地采用相关评估结论。</w:t>
      </w:r>
    </w:p>
    <w:p w14:paraId="2BB5417D">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注册或备案产品安全评估资料中，应明确安全评估机构和评估结论。</w:t>
      </w:r>
    </w:p>
    <w:p w14:paraId="3DAA1CE9">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b w:val="0"/>
          <w:bCs w:val="0"/>
          <w:kern w:val="0"/>
          <w:sz w:val="32"/>
          <w:szCs w:val="32"/>
        </w:rPr>
      </w:pPr>
      <w:r>
        <w:rPr>
          <w:rFonts w:hint="eastAsia" w:ascii="Times New Roman" w:hAnsi="Times New Roman" w:eastAsia="楷体_GB2312" w:cs="Times New Roman"/>
          <w:b w:val="0"/>
          <w:bCs w:val="0"/>
          <w:kern w:val="0"/>
          <w:sz w:val="32"/>
          <w:szCs w:val="32"/>
        </w:rPr>
        <w:t>（三）世界卫生组织（</w:t>
      </w:r>
      <w:r>
        <w:rPr>
          <w:rFonts w:ascii="Times New Roman" w:hAnsi="Times New Roman" w:eastAsia="楷体_GB2312" w:cs="Times New Roman"/>
          <w:b w:val="0"/>
          <w:bCs w:val="0"/>
          <w:kern w:val="0"/>
          <w:sz w:val="32"/>
          <w:szCs w:val="32"/>
        </w:rPr>
        <w:t>WHO</w:t>
      </w:r>
      <w:r>
        <w:rPr>
          <w:rFonts w:hint="eastAsia" w:ascii="Times New Roman" w:hAnsi="Times New Roman" w:eastAsia="楷体_GB2312" w:cs="Times New Roman"/>
          <w:b w:val="0"/>
          <w:bCs w:val="0"/>
          <w:kern w:val="0"/>
          <w:sz w:val="32"/>
          <w:szCs w:val="32"/>
        </w:rPr>
        <w:t>）、联合国粮农组织（</w:t>
      </w:r>
      <w:r>
        <w:rPr>
          <w:rFonts w:ascii="Times New Roman" w:hAnsi="Times New Roman" w:eastAsia="楷体_GB2312" w:cs="Times New Roman"/>
          <w:b w:val="0"/>
          <w:bCs w:val="0"/>
          <w:kern w:val="0"/>
          <w:sz w:val="32"/>
          <w:szCs w:val="32"/>
        </w:rPr>
        <w:t>FAO</w:t>
      </w:r>
      <w:r>
        <w:rPr>
          <w:rFonts w:hint="eastAsia" w:ascii="Times New Roman" w:hAnsi="Times New Roman" w:eastAsia="楷体_GB2312" w:cs="Times New Roman"/>
          <w:b w:val="0"/>
          <w:bCs w:val="0"/>
          <w:kern w:val="0"/>
          <w:sz w:val="32"/>
          <w:szCs w:val="32"/>
        </w:rPr>
        <w:t>）等权威机构已公布的安全限量或结论</w:t>
      </w:r>
    </w:p>
    <w:p w14:paraId="71BE3ED7">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世界卫生组织（</w:t>
      </w:r>
      <w:r>
        <w:rPr>
          <w:rFonts w:ascii="Times New Roman" w:hAnsi="Times New Roman" w:eastAsia="仿宋_GB2312" w:cs="Times New Roman"/>
          <w:kern w:val="0"/>
          <w:sz w:val="32"/>
          <w:szCs w:val="32"/>
        </w:rPr>
        <w:t>WHO</w:t>
      </w:r>
      <w:r>
        <w:rPr>
          <w:rFonts w:hint="eastAsia" w:ascii="Times New Roman" w:hAnsi="Times New Roman" w:eastAsia="仿宋_GB2312" w:cs="Times New Roman"/>
          <w:kern w:val="0"/>
          <w:sz w:val="32"/>
          <w:szCs w:val="32"/>
        </w:rPr>
        <w:t>）、联合国粮农组织（</w:t>
      </w:r>
      <w:r>
        <w:rPr>
          <w:rFonts w:ascii="Times New Roman" w:hAnsi="Times New Roman" w:eastAsia="仿宋_GB2312" w:cs="Times New Roman"/>
          <w:kern w:val="0"/>
          <w:sz w:val="32"/>
          <w:szCs w:val="32"/>
        </w:rPr>
        <w:t>FAO</w:t>
      </w:r>
      <w:r>
        <w:rPr>
          <w:rFonts w:hint="eastAsia" w:ascii="Times New Roman" w:hAnsi="Times New Roman" w:eastAsia="仿宋_GB2312" w:cs="Times New Roman"/>
          <w:kern w:val="0"/>
          <w:sz w:val="32"/>
          <w:szCs w:val="32"/>
        </w:rPr>
        <w:t>）以及其他权威机构已公布的安全限量或结论，如每日允许摄入量（</w:t>
      </w:r>
      <w:r>
        <w:rPr>
          <w:rFonts w:ascii="Times New Roman" w:hAnsi="Times New Roman" w:eastAsia="仿宋_GB2312" w:cs="Times New Roman"/>
          <w:kern w:val="0"/>
          <w:sz w:val="32"/>
          <w:szCs w:val="32"/>
        </w:rPr>
        <w:t>ADI</w:t>
      </w:r>
      <w:r>
        <w:rPr>
          <w:rFonts w:hint="eastAsia" w:ascii="Times New Roman" w:hAnsi="Times New Roman" w:eastAsia="仿宋_GB2312" w:cs="Times New Roman"/>
          <w:kern w:val="0"/>
          <w:sz w:val="32"/>
          <w:szCs w:val="32"/>
        </w:rPr>
        <w:t>）、每日耐受剂量（</w:t>
      </w:r>
      <w:r>
        <w:rPr>
          <w:rFonts w:ascii="Times New Roman" w:hAnsi="Times New Roman" w:eastAsia="仿宋_GB2312" w:cs="Times New Roman"/>
          <w:kern w:val="0"/>
          <w:sz w:val="32"/>
          <w:szCs w:val="32"/>
        </w:rPr>
        <w:t>TDI</w:t>
      </w:r>
      <w:r>
        <w:rPr>
          <w:rFonts w:hint="eastAsia" w:ascii="Times New Roman" w:hAnsi="Times New Roman" w:eastAsia="仿宋_GB2312" w:cs="Times New Roman"/>
          <w:kern w:val="0"/>
          <w:sz w:val="32"/>
          <w:szCs w:val="32"/>
        </w:rPr>
        <w:t>）、参考剂量（</w:t>
      </w:r>
      <w:r>
        <w:rPr>
          <w:rFonts w:ascii="Times New Roman" w:hAnsi="Times New Roman" w:eastAsia="仿宋_GB2312" w:cs="Times New Roman"/>
          <w:kern w:val="0"/>
          <w:sz w:val="32"/>
          <w:szCs w:val="32"/>
        </w:rPr>
        <w:t>RfD</w:t>
      </w:r>
      <w:r>
        <w:rPr>
          <w:rFonts w:hint="eastAsia" w:ascii="Times New Roman" w:hAnsi="Times New Roman" w:eastAsia="仿宋_GB2312" w:cs="Times New Roman"/>
          <w:kern w:val="0"/>
          <w:sz w:val="32"/>
          <w:szCs w:val="32"/>
        </w:rPr>
        <w:t>）、一般认为安全的物质（G</w:t>
      </w:r>
      <w:r>
        <w:rPr>
          <w:rFonts w:ascii="Times New Roman" w:hAnsi="Times New Roman" w:eastAsia="仿宋_GB2312" w:cs="Times New Roman"/>
          <w:kern w:val="0"/>
          <w:sz w:val="32"/>
          <w:szCs w:val="32"/>
        </w:rPr>
        <w:t>RAS</w:t>
      </w:r>
      <w:r>
        <w:rPr>
          <w:rFonts w:hint="eastAsia" w:ascii="Times New Roman" w:hAnsi="Times New Roman" w:eastAsia="仿宋_GB2312" w:cs="Times New Roman"/>
          <w:kern w:val="0"/>
          <w:sz w:val="32"/>
          <w:szCs w:val="32"/>
        </w:rPr>
        <w:t>）、国际日用香料协会（</w:t>
      </w:r>
      <w:r>
        <w:rPr>
          <w:rFonts w:ascii="Times New Roman" w:hAnsi="Times New Roman" w:eastAsia="仿宋_GB2312" w:cs="Times New Roman"/>
          <w:kern w:val="0"/>
          <w:sz w:val="32"/>
          <w:szCs w:val="32"/>
        </w:rPr>
        <w:t>IFRA</w:t>
      </w:r>
      <w:r>
        <w:rPr>
          <w:rFonts w:hint="eastAsia" w:ascii="Times New Roman" w:hAnsi="Times New Roman" w:eastAsia="仿宋_GB2312" w:cs="Times New Roman"/>
          <w:kern w:val="0"/>
          <w:sz w:val="32"/>
          <w:szCs w:val="32"/>
        </w:rPr>
        <w:t>）和我国标准管理部门发布的香料标准、我国或其他国家监管部门公布的祛斑美白原料使用量等，需对相关资料进行分析，在符合我国化妆品相关法规规定的情况下，可采用相关结论。不同权威机构发布的结果不一致时，根据数据的可靠性和相关性，科学合理地采用相关结论。如缺少局部毒性资料，应结合产品使用部位和使用方式等，对局部毒性开展评估。</w:t>
      </w:r>
    </w:p>
    <w:p w14:paraId="4B5D49F3">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注册或备案产品安全评估资料中，应明确安全限量或结论来源，相关资料留档备查。</w:t>
      </w:r>
    </w:p>
    <w:p w14:paraId="1F0DF7CC">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b w:val="0"/>
          <w:bCs w:val="0"/>
          <w:kern w:val="0"/>
          <w:sz w:val="32"/>
          <w:szCs w:val="32"/>
        </w:rPr>
      </w:pPr>
      <w:r>
        <w:rPr>
          <w:rFonts w:hint="eastAsia" w:ascii="Times New Roman" w:hAnsi="Times New Roman" w:eastAsia="楷体_GB2312" w:cs="Times New Roman"/>
          <w:b w:val="0"/>
          <w:bCs w:val="0"/>
          <w:kern w:val="0"/>
          <w:sz w:val="32"/>
          <w:szCs w:val="32"/>
        </w:rPr>
        <w:t>（四）监管部门公布的已上市产品原料使用信息</w:t>
      </w:r>
    </w:p>
    <w:p w14:paraId="1B1A3F82">
      <w:pPr>
        <w:pageBreakBefore w:val="0"/>
        <w:widowControl w:val="0"/>
        <w:kinsoku/>
        <w:wordWrap/>
        <w:overflowPunct/>
        <w:topLinePunct w:val="0"/>
        <w:autoSpaceDE/>
        <w:autoSpaceDN/>
        <w:bidi w:val="0"/>
        <w:adjustRightInd/>
        <w:snapToGrid/>
        <w:spacing w:line="560" w:lineRule="exact"/>
        <w:ind w:firstLine="616" w:firstLineChars="200"/>
        <w:textAlignment w:val="auto"/>
        <w:rPr>
          <w:rFonts w:ascii="Times New Roman" w:hAnsi="Times New Roman" w:eastAsia="仿宋_GB2312" w:cs="Times New Roman"/>
          <w:spacing w:val="-6"/>
          <w:kern w:val="0"/>
          <w:sz w:val="32"/>
          <w:szCs w:val="32"/>
        </w:rPr>
      </w:pPr>
      <w:r>
        <w:rPr>
          <w:rFonts w:hint="eastAsia" w:ascii="Times New Roman" w:hAnsi="Times New Roman" w:eastAsia="仿宋_GB2312" w:cs="Times New Roman"/>
          <w:spacing w:val="-6"/>
          <w:kern w:val="0"/>
          <w:sz w:val="32"/>
          <w:szCs w:val="32"/>
        </w:rPr>
        <w:t>监管部门公布的已上市产品原料使用信息可为评估提供参考。</w:t>
      </w:r>
    </w:p>
    <w:p w14:paraId="124AC77E">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b w:val="0"/>
          <w:bCs w:val="0"/>
          <w:kern w:val="0"/>
          <w:sz w:val="32"/>
          <w:szCs w:val="32"/>
        </w:rPr>
      </w:pPr>
      <w:r>
        <w:rPr>
          <w:rFonts w:hint="eastAsia" w:ascii="Times New Roman" w:hAnsi="Times New Roman" w:eastAsia="楷体_GB2312" w:cs="Times New Roman"/>
          <w:b w:val="0"/>
          <w:bCs w:val="0"/>
          <w:kern w:val="0"/>
          <w:sz w:val="32"/>
          <w:szCs w:val="32"/>
        </w:rPr>
        <w:t>（五）原料</w:t>
      </w:r>
      <w:r>
        <w:rPr>
          <w:rFonts w:ascii="Times New Roman" w:hAnsi="Times New Roman" w:eastAsia="楷体_GB2312" w:cs="Times New Roman"/>
          <w:b w:val="0"/>
          <w:bCs w:val="0"/>
          <w:kern w:val="0"/>
          <w:sz w:val="32"/>
          <w:szCs w:val="32"/>
        </w:rPr>
        <w:t>3</w:t>
      </w:r>
      <w:r>
        <w:rPr>
          <w:rFonts w:hint="eastAsia" w:ascii="Times New Roman" w:hAnsi="Times New Roman" w:eastAsia="楷体_GB2312" w:cs="Times New Roman"/>
          <w:b w:val="0"/>
          <w:bCs w:val="0"/>
          <w:kern w:val="0"/>
          <w:sz w:val="32"/>
          <w:szCs w:val="32"/>
        </w:rPr>
        <w:t>年安全使用历史</w:t>
      </w:r>
    </w:p>
    <w:p w14:paraId="59D3D53C">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对国内外已有</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年（含</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以上安全使用历史的原料，使用的原料与拟评估的原料为同一原料，即在《已使用化妆品原料目录》中序号相同，使用该原料的已上市产品引起的不良反应经分析不涉及该原料的使用安全。使用该原料的已上市化妆品中的原料使用浓度、使用部位、使用方法等应能够支持拟评估原料的安全评估，必要时评估其局部毒性。</w:t>
      </w:r>
    </w:p>
    <w:p w14:paraId="28FDF3B2">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产品注册或备案时应提供本企业或经授权的非本企业同一原料的</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年使用历史证明材料。包括：</w:t>
      </w:r>
      <w:r>
        <w:rPr>
          <w:rFonts w:ascii="Times New Roman" w:hAnsi="Times New Roman" w:eastAsia="仿宋_GB2312" w:cs="Times New Roman"/>
          <w:kern w:val="0"/>
          <w:sz w:val="32"/>
          <w:szCs w:val="32"/>
        </w:rPr>
        <w:t xml:space="preserve">1. </w:t>
      </w:r>
      <w:r>
        <w:rPr>
          <w:rFonts w:hint="eastAsia" w:ascii="Times New Roman" w:hAnsi="Times New Roman" w:eastAsia="仿宋_GB2312" w:cs="Times New Roman"/>
          <w:kern w:val="0"/>
          <w:sz w:val="32"/>
          <w:szCs w:val="32"/>
        </w:rPr>
        <w:t>同一原料的证明材料，具体可从原料来源、生产工艺、原料组成、质量规格等方面进行分析。</w:t>
      </w:r>
      <w:r>
        <w:rPr>
          <w:rFonts w:ascii="Times New Roman" w:hAnsi="Times New Roman" w:eastAsia="仿宋_GB2312" w:cs="Times New Roman"/>
          <w:kern w:val="0"/>
          <w:sz w:val="32"/>
          <w:szCs w:val="32"/>
        </w:rPr>
        <w:t xml:space="preserve">2. </w:t>
      </w:r>
      <w:r>
        <w:rPr>
          <w:rFonts w:hint="eastAsia" w:ascii="Times New Roman" w:hAnsi="Times New Roman" w:eastAsia="仿宋_GB2312" w:cs="Times New Roman"/>
          <w:kern w:val="0"/>
          <w:sz w:val="32"/>
          <w:szCs w:val="32"/>
        </w:rPr>
        <w:t>注册产品应提交产品注册证书、注册配方（须与申报时提交配方一致）。备案产品应提交备案凭证、备案配方；备案信息中不含配方信息的备案产品以及国外上市产品可提交带原料含量或可计算原料含量的生产投料记录，或者其他可包含原料含量信息的证明材料。</w:t>
      </w:r>
      <w:r>
        <w:rPr>
          <w:rFonts w:ascii="Times New Roman" w:hAnsi="Times New Roman" w:eastAsia="仿宋_GB2312" w:cs="Times New Roman"/>
          <w:kern w:val="0"/>
          <w:sz w:val="32"/>
          <w:szCs w:val="32"/>
        </w:rPr>
        <w:t xml:space="preserve">3. </w:t>
      </w:r>
      <w:r>
        <w:rPr>
          <w:rFonts w:hint="eastAsia" w:ascii="Times New Roman" w:hAnsi="Times New Roman" w:eastAsia="仿宋_GB2312" w:cs="Times New Roman"/>
          <w:kern w:val="0"/>
          <w:sz w:val="32"/>
          <w:szCs w:val="32"/>
        </w:rPr>
        <w:t>不良反应监测情况说明，应明确收集不良反应事件的渠道和方式，以及使用该原料的化妆品是否出现不良反应的记录，并进行分析。</w:t>
      </w:r>
      <w:r>
        <w:rPr>
          <w:rFonts w:ascii="Times New Roman" w:hAnsi="Times New Roman" w:eastAsia="仿宋_GB2312" w:cs="Times New Roman"/>
          <w:kern w:val="0"/>
          <w:sz w:val="32"/>
          <w:szCs w:val="32"/>
        </w:rPr>
        <w:t xml:space="preserve">4. </w:t>
      </w:r>
      <w:r>
        <w:rPr>
          <w:rFonts w:hint="eastAsia" w:ascii="Times New Roman" w:hAnsi="Times New Roman" w:eastAsia="仿宋_GB2312" w:cs="Times New Roman"/>
          <w:kern w:val="0"/>
          <w:sz w:val="32"/>
          <w:szCs w:val="32"/>
        </w:rPr>
        <w:t>上市销售数据证明。应确保相关产品具有足够的使用数量。符合上述要求的产品上市时间应不少于</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年，可以是同一款产品连续销售满</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年及以上，或者多款产品累计连续销售满</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年及以上。原则上，如采用终端零售化妆品销售数量（即消费者实际购买数量），则</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年累计销售数量不得低于</w:t>
      </w:r>
      <w:r>
        <w:rPr>
          <w:rFonts w:ascii="Times New Roman" w:hAnsi="Times New Roman" w:eastAsia="仿宋_GB2312" w:cs="Times New Roman"/>
          <w:kern w:val="0"/>
          <w:sz w:val="32"/>
          <w:szCs w:val="32"/>
        </w:rPr>
        <w:t>10000</w:t>
      </w:r>
      <w:r>
        <w:rPr>
          <w:rFonts w:hint="eastAsia" w:ascii="Times New Roman" w:hAnsi="Times New Roman" w:eastAsia="仿宋_GB2312" w:cs="Times New Roman"/>
          <w:kern w:val="0"/>
          <w:sz w:val="32"/>
          <w:szCs w:val="32"/>
        </w:rPr>
        <w:t>件；如采用间接销售数据，如化妆品生产企业出厂量、出库量、清关记录、分销商销售量等，则</w:t>
      </w:r>
      <w:r>
        <w:rPr>
          <w:rFonts w:ascii="Times New Roman" w:hAnsi="Times New Roman" w:eastAsia="仿宋_GB2312" w:cs="Times New Roman"/>
          <w:kern w:val="0"/>
          <w:sz w:val="32"/>
          <w:szCs w:val="32"/>
        </w:rPr>
        <w:t>3</w:t>
      </w:r>
      <w:r>
        <w:rPr>
          <w:rFonts w:hint="eastAsia" w:ascii="Times New Roman" w:hAnsi="Times New Roman" w:eastAsia="仿宋_GB2312" w:cs="Times New Roman"/>
          <w:kern w:val="0"/>
          <w:sz w:val="32"/>
          <w:szCs w:val="32"/>
        </w:rPr>
        <w:t>年累计销售数量不得低于</w:t>
      </w:r>
      <w:r>
        <w:rPr>
          <w:rFonts w:ascii="Times New Roman" w:hAnsi="Times New Roman" w:eastAsia="仿宋_GB2312" w:cs="Times New Roman"/>
          <w:kern w:val="0"/>
          <w:sz w:val="32"/>
          <w:szCs w:val="32"/>
        </w:rPr>
        <w:t>30000</w:t>
      </w:r>
      <w:r>
        <w:rPr>
          <w:rFonts w:hint="eastAsia" w:ascii="Times New Roman" w:hAnsi="Times New Roman" w:eastAsia="仿宋_GB2312" w:cs="Times New Roman"/>
          <w:kern w:val="0"/>
          <w:sz w:val="32"/>
          <w:szCs w:val="32"/>
        </w:rPr>
        <w:t>件。</w:t>
      </w:r>
      <w:r>
        <w:rPr>
          <w:rFonts w:ascii="Times New Roman" w:hAnsi="Times New Roman" w:eastAsia="仿宋_GB2312" w:cs="Times New Roman"/>
          <w:kern w:val="0"/>
          <w:sz w:val="32"/>
          <w:szCs w:val="32"/>
        </w:rPr>
        <w:t xml:space="preserve">5. </w:t>
      </w:r>
      <w:r>
        <w:rPr>
          <w:rFonts w:hint="eastAsia" w:ascii="Times New Roman" w:hAnsi="Times New Roman" w:eastAsia="仿宋_GB2312" w:cs="Times New Roman"/>
          <w:kern w:val="0"/>
          <w:sz w:val="32"/>
          <w:szCs w:val="32"/>
        </w:rPr>
        <w:t>如使用非本企业上市产品证明材料，还应提供原料生产企业或使用同一原料的化妆品生产企业出具的授权书。</w:t>
      </w:r>
      <w:r>
        <w:rPr>
          <w:rFonts w:ascii="Times New Roman" w:hAnsi="Times New Roman" w:eastAsia="仿宋_GB2312" w:cs="Times New Roman"/>
          <w:kern w:val="0"/>
          <w:sz w:val="32"/>
          <w:szCs w:val="32"/>
        </w:rPr>
        <w:t xml:space="preserve">6. </w:t>
      </w:r>
      <w:r>
        <w:rPr>
          <w:rFonts w:hint="eastAsia" w:ascii="Times New Roman" w:hAnsi="Times New Roman" w:eastAsia="仿宋_GB2312" w:cs="Times New Roman"/>
          <w:kern w:val="0"/>
          <w:sz w:val="32"/>
          <w:szCs w:val="32"/>
        </w:rPr>
        <w:t>其他相关材料。</w:t>
      </w:r>
    </w:p>
    <w:p w14:paraId="777BDCBF">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b w:val="0"/>
          <w:bCs w:val="0"/>
          <w:kern w:val="0"/>
          <w:sz w:val="32"/>
          <w:szCs w:val="32"/>
        </w:rPr>
      </w:pPr>
      <w:r>
        <w:rPr>
          <w:rFonts w:hint="eastAsia" w:ascii="Times New Roman" w:hAnsi="Times New Roman" w:eastAsia="楷体_GB2312" w:cs="Times New Roman"/>
          <w:b w:val="0"/>
          <w:bCs w:val="0"/>
          <w:kern w:val="0"/>
          <w:sz w:val="32"/>
          <w:szCs w:val="32"/>
        </w:rPr>
        <w:t>（六）安全食用历史</w:t>
      </w:r>
    </w:p>
    <w:p w14:paraId="14246AAC">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有安全食用历史类原料，应对其食用历史、生产工艺等进行全面充分研究，确保原料或制备该原料的原材料有可安全食用的特性。在生产工艺接近于食品加工过程，或者生产过程仅涉及物理加工，此类原料在安全评估时可豁免系统毒性，结合产品使用部位和使用方式等，对局部毒性进行评估。</w:t>
      </w:r>
    </w:p>
    <w:p w14:paraId="68525159">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spacing w:val="-6"/>
          <w:kern w:val="0"/>
          <w:sz w:val="32"/>
          <w:szCs w:val="32"/>
        </w:rPr>
      </w:pPr>
      <w:r>
        <w:rPr>
          <w:rFonts w:hint="eastAsia" w:ascii="Times New Roman" w:hAnsi="Times New Roman" w:eastAsia="仿宋_GB2312" w:cs="Times New Roman"/>
          <w:kern w:val="0"/>
          <w:sz w:val="32"/>
          <w:szCs w:val="32"/>
        </w:rPr>
        <w:t>安全食用历史的证明材料，应来源于食品、农业、卫生等相关领域的省级（含省级）以上监督管理部门，或具有食品安全风险评估相关职能的技术机构，应是公开发布的数据信息，且具有一定权威性，如相关部门发布的公告、通知、技术标准等；国外监督管理部门应是国家级，技术机构应是国际公认的权威机构或组织。常见的证明资料来源包括我国相关监管部门发布的可安全食用原料，如粮食、瓜果蔬菜、肉类等常见食物原料，普通食品</w:t>
      </w:r>
      <w:r>
        <w:rPr>
          <w:rFonts w:hint="eastAsia" w:ascii="Times New Roman" w:hAnsi="Times New Roman" w:eastAsia="仿宋_GB2312" w:cs="Times New Roman"/>
          <w:spacing w:val="-6"/>
          <w:kern w:val="0"/>
          <w:sz w:val="32"/>
          <w:szCs w:val="32"/>
        </w:rPr>
        <w:t>原料，新食品原料，药食同源物质，保健食品原料目录，地方特色食品原料等；国外监管部门或技术机构发布的可安全食用原料等。</w:t>
      </w:r>
    </w:p>
    <w:p w14:paraId="4874F156">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楷体_GB2312" w:cs="Times New Roman"/>
          <w:b w:val="0"/>
          <w:bCs w:val="0"/>
          <w:kern w:val="0"/>
          <w:sz w:val="32"/>
          <w:szCs w:val="32"/>
        </w:rPr>
      </w:pPr>
      <w:r>
        <w:rPr>
          <w:rFonts w:hint="eastAsia" w:ascii="Times New Roman" w:hAnsi="Times New Roman" w:eastAsia="楷体_GB2312" w:cs="Times New Roman"/>
          <w:b w:val="0"/>
          <w:bCs w:val="0"/>
          <w:kern w:val="0"/>
          <w:sz w:val="32"/>
          <w:szCs w:val="32"/>
        </w:rPr>
        <w:t>（七）结构和性质稳定的高分子聚合物（具有较高生物活性的原料除外）</w:t>
      </w:r>
    </w:p>
    <w:p w14:paraId="29FBF2DF">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化学合成的由一种或一种以上结构单元，通过共价键连接，平均相对分子质量（以数均计，下同）大于</w:t>
      </w:r>
      <w:r>
        <w:rPr>
          <w:rFonts w:ascii="Times New Roman" w:hAnsi="Times New Roman" w:eastAsia="仿宋_GB2312" w:cs="Times New Roman"/>
          <w:kern w:val="0"/>
          <w:sz w:val="32"/>
          <w:szCs w:val="32"/>
        </w:rPr>
        <w:t>1000</w:t>
      </w:r>
      <w:r>
        <w:rPr>
          <w:rFonts w:hint="eastAsia" w:ascii="Times New Roman" w:hAnsi="Times New Roman" w:eastAsia="仿宋_GB2312" w:cs="Times New Roman"/>
          <w:kern w:val="0"/>
          <w:sz w:val="32"/>
          <w:szCs w:val="32"/>
        </w:rPr>
        <w:t>道尔顿，且相对分子质量小于</w:t>
      </w:r>
      <w:r>
        <w:rPr>
          <w:rFonts w:ascii="Times New Roman" w:hAnsi="Times New Roman" w:eastAsia="仿宋_GB2312" w:cs="Times New Roman"/>
          <w:kern w:val="0"/>
          <w:sz w:val="32"/>
          <w:szCs w:val="32"/>
        </w:rPr>
        <w:t>1000</w:t>
      </w:r>
      <w:r>
        <w:rPr>
          <w:rFonts w:hint="eastAsia" w:ascii="Times New Roman" w:hAnsi="Times New Roman" w:eastAsia="仿宋_GB2312" w:cs="Times New Roman"/>
          <w:kern w:val="0"/>
          <w:sz w:val="32"/>
          <w:szCs w:val="32"/>
        </w:rPr>
        <w:t>道尔顿的低聚体含量少于</w:t>
      </w:r>
      <w:r>
        <w:rPr>
          <w:rFonts w:ascii="Times New Roman" w:hAnsi="Times New Roman" w:eastAsia="仿宋_GB2312" w:cs="Times New Roman"/>
          <w:kern w:val="0"/>
          <w:sz w:val="32"/>
          <w:szCs w:val="32"/>
        </w:rPr>
        <w:t>10%</w:t>
      </w:r>
      <w:r>
        <w:rPr>
          <w:rFonts w:hint="eastAsia" w:ascii="Times New Roman" w:hAnsi="Times New Roman" w:eastAsia="仿宋_GB2312" w:cs="Times New Roman"/>
          <w:kern w:val="0"/>
          <w:sz w:val="32"/>
          <w:szCs w:val="32"/>
        </w:rPr>
        <w:t>，结构和性质稳定的聚合物（具有较高生物活性的原料除外），安全评估时可不考虑透皮吸收，结合产品使用部位和使用方式等，对局部毒性进行评估。</w:t>
      </w:r>
    </w:p>
    <w:p w14:paraId="0D5E7E3B">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化妆品注册人、备案人应提供相关证明材料，包括结构单元、平均相对分子质量、相对分子质量小于</w:t>
      </w:r>
      <w:r>
        <w:rPr>
          <w:rFonts w:ascii="Times New Roman" w:hAnsi="Times New Roman" w:eastAsia="仿宋_GB2312" w:cs="Times New Roman"/>
          <w:kern w:val="0"/>
          <w:sz w:val="32"/>
          <w:szCs w:val="32"/>
        </w:rPr>
        <w:t>1000</w:t>
      </w:r>
      <w:r>
        <w:rPr>
          <w:rFonts w:hint="eastAsia" w:ascii="Times New Roman" w:hAnsi="Times New Roman" w:eastAsia="仿宋_GB2312" w:cs="Times New Roman"/>
          <w:kern w:val="0"/>
          <w:sz w:val="32"/>
          <w:szCs w:val="32"/>
        </w:rPr>
        <w:t>道尔顿的低聚体含量等，还应提供在现有科学认知情况下原料不具备生物活性的说明。</w:t>
      </w:r>
    </w:p>
    <w:p w14:paraId="64CACBC6">
      <w:pPr>
        <w:pStyle w:val="2"/>
        <w:pageBreakBefore w:val="0"/>
        <w:widowControl w:val="0"/>
        <w:kinsoku/>
        <w:wordWrap/>
        <w:overflowPunct/>
        <w:topLinePunct w:val="0"/>
        <w:autoSpaceDE/>
        <w:autoSpaceDN/>
        <w:bidi w:val="0"/>
        <w:adjustRightInd/>
        <w:snapToGrid/>
        <w:spacing w:before="0" w:after="0" w:line="560" w:lineRule="exact"/>
        <w:textAlignment w:val="auto"/>
        <w:rPr>
          <w:rFonts w:ascii="Times New Roman" w:hAnsi="Times New Roman" w:eastAsia="黑体" w:cs="Times New Roman"/>
          <w:b w:val="0"/>
          <w:bCs w:val="0"/>
          <w:sz w:val="32"/>
          <w:szCs w:val="32"/>
        </w:rPr>
      </w:pPr>
      <w:bookmarkStart w:id="3" w:name="_Toc237422424"/>
      <w:bookmarkStart w:id="4" w:name="_Toc165286634"/>
      <w:r>
        <w:rPr>
          <w:rFonts w:hint="eastAsia" w:ascii="Times New Roman" w:hAnsi="Times New Roman" w:eastAsia="黑体" w:cs="Times New Roman"/>
          <w:b w:val="0"/>
          <w:bCs w:val="0"/>
          <w:sz w:val="32"/>
          <w:szCs w:val="32"/>
        </w:rPr>
        <w:t>三、其他</w:t>
      </w:r>
      <w:bookmarkEnd w:id="3"/>
      <w:bookmarkEnd w:id="4"/>
    </w:p>
    <w:p w14:paraId="5F601E24">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作为祛斑美白剂和防脱发剂使用的原料，可以使用国际化妆品安全评估机构公布的评估结论、世界卫生组织（WHO）等权威机构已公布的安全限量或结论、原料3年安全使用历史和安全食用历史作为评估依据。</w:t>
      </w:r>
    </w:p>
    <w:p w14:paraId="78F02802">
      <w:pPr>
        <w:pageBreakBefore w:val="0"/>
        <w:widowControl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rPr>
        <w:t>采用原料3年安全使用历史、安全食用历史作为祛斑美白剂的评估依据时，应根据原料理化特性、美白作用机理等充分分析是否存在相关安全风险，如无法排除其长期作用于人体皮肤的安全风险，应补充人体长期试用试验相关材料。</w:t>
      </w:r>
    </w:p>
    <w:p w14:paraId="01F4D2DC">
      <w:pPr>
        <w:widowControl/>
        <w:jc w:val="left"/>
        <w:rPr>
          <w:rFonts w:ascii="Times New Roman" w:hAnsi="Times New Roman" w:eastAsia="仿宋_GB2312" w:cs="Times New Roman"/>
          <w:kern w:val="0"/>
          <w:sz w:val="32"/>
          <w:szCs w:val="32"/>
        </w:rPr>
      </w:pPr>
      <w:r>
        <w:rPr>
          <w:rFonts w:ascii="Times New Roman" w:hAnsi="Times New Roman" w:eastAsia="仿宋_GB2312" w:cs="Times New Roman"/>
          <w:kern w:val="0"/>
          <w:sz w:val="32"/>
          <w:szCs w:val="32"/>
        </w:rPr>
        <w:br w:type="page"/>
      </w:r>
    </w:p>
    <w:p w14:paraId="294D4B06">
      <w:pPr>
        <w:spacing w:line="66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44"/>
          <w:szCs w:val="44"/>
        </w:rPr>
        <w:t>《化妆品原料数据使用指南（征求意见稿）》修订说明</w:t>
      </w:r>
    </w:p>
    <w:p w14:paraId="1543EED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4月，中国药品检定研究院（以下简称中检院）发布了《化妆品原料数据使用指南》（以下简称《数据使用指南》），规范和指导化妆品安全评估中原料数据的使用。为进一步完善化妆品安全评估技术体系，促进产业高质量发展，中检院组织开展了该文件的修订工作，现将相关情况说明如下：</w:t>
      </w:r>
    </w:p>
    <w:p w14:paraId="6A2E506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一、必要性</w:t>
      </w:r>
    </w:p>
    <w:p w14:paraId="0DD020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随着化妆品安全评估制度的深入推进，行业在落实完整版安全评估过程中，《数据使用指南》部分内容已不能满足行业需求。为贯彻落实《国家药监局关于深化化妆品监管改革促进产业高质量发展的意见》（国药监妆〔2025〕18号），促进产业高质量发展，有必要对《数据使用指南》进行修改完善，明确相关要求。</w:t>
      </w:r>
    </w:p>
    <w:p w14:paraId="047872E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二、修订原则</w:t>
      </w:r>
    </w:p>
    <w:p w14:paraId="1BDCCD1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遵循《化妆品监督管理条例》《化妆品注册备案管理办法》及《化妆品安全评估技术导则（2021年版）》等相关规定，以指导行业科学规范开展安全评估为目标，优化原料数据类型的使用要求及证明材料要求。</w:t>
      </w:r>
    </w:p>
    <w:p w14:paraId="00B444D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基于行业反馈集中的问题，对部分条款内容进行细化完善。以风险管理为核心，坚守安全底线，在保障产品安全的前提下，为行业提供清晰可行的技术指引。</w:t>
      </w:r>
    </w:p>
    <w:p w14:paraId="1EC1DE6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三、需要重点说明的问题</w:t>
      </w:r>
    </w:p>
    <w:p w14:paraId="0E7CBC6E">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default" w:ascii="Times New Roman" w:hAnsi="Times New Roman" w:eastAsia="楷体_GB2312" w:cs="Times New Roman"/>
          <w:spacing w:val="-6"/>
          <w:sz w:val="32"/>
          <w:szCs w:val="32"/>
        </w:rPr>
      </w:pPr>
      <w:bookmarkStart w:id="5" w:name="_GoBack"/>
      <w:r>
        <w:rPr>
          <w:rFonts w:hint="default" w:ascii="Times New Roman" w:hAnsi="Times New Roman" w:eastAsia="楷体_GB2312" w:cs="Times New Roman"/>
          <w:spacing w:val="-6"/>
          <w:sz w:val="32"/>
          <w:szCs w:val="32"/>
        </w:rPr>
        <w:t>（一）细化原料3年安全使用历史的使用条件和证明材料要求</w:t>
      </w:r>
    </w:p>
    <w:bookmarkEnd w:id="5"/>
    <w:p w14:paraId="625585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细化了原料3年安全使用历史的使用条件，明确历史使用浓度参考的适用情形。细化了同一原料的证明材料内容，明确可从原料来源、生产工艺、原料组成、质量规格等方面进行分析；明确了备案产品应提交的资料要求；明确了上市销售数据的要求。</w:t>
      </w:r>
    </w:p>
    <w:p w14:paraId="05F8879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（二）完善安全食用历史的相关要求</w:t>
      </w:r>
    </w:p>
    <w:p w14:paraId="2A7607B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细化了安全食用历史类原料的生产工艺条件，在生产工艺接近于食品加工过程的基础上，增加“生产过程仅涉及物理加工”的情形，使豁免系统毒性的适用范围更为明确。</w:t>
      </w:r>
    </w:p>
    <w:p w14:paraId="0D13C8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楷体_GB2312" w:cs="Times New Roman"/>
          <w:sz w:val="32"/>
          <w:szCs w:val="32"/>
        </w:rPr>
        <w:t>（三）调整祛斑美白剂和防脱发剂的评估依据要求</w:t>
      </w:r>
    </w:p>
    <w:p w14:paraId="4B089D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明确了作为祛斑美白剂和防脱发剂使用的原料，可以使用国际化妆品安全评估机构公布的评估结论、世界卫生组织（WHO）等权威机构已公布的安全限量或结论、原料3年安全使用历史和安全食用历史作为评估依据。此外，对于祛斑美白剂采用原料3年安全使用历史、安全食用历史作为评估依据时，明确提出应根据原料理化特性、美白作用机理等充分分析是否存在相关安全风险，如无法排除其长期作用于人体皮肤的安全风险，应补充人体长期试用试验相关材料。</w:t>
      </w:r>
    </w:p>
    <w:p w14:paraId="73BA1BE7">
      <w:pPr>
        <w:spacing w:line="560" w:lineRule="exact"/>
        <w:ind w:firstLine="640" w:firstLineChars="200"/>
        <w:rPr>
          <w:rFonts w:ascii="Times New Roman" w:hAnsi="Times New Roman" w:eastAsia="仿宋_GB2312" w:cs="Times New Roman"/>
          <w:kern w:val="0"/>
          <w:sz w:val="32"/>
          <w:szCs w:val="32"/>
        </w:rPr>
      </w:pPr>
    </w:p>
    <w:sectPr>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E450EC-1335-424C-9E5A-7E19DC2218B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C6A409A-46B3-456B-95FF-C1E249BBBF0E}"/>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embedRegular r:id="rId3" w:fontKey="{D2EBDF5F-1BE4-40A3-8BE1-EC5A6DDFA7FA}"/>
  </w:font>
  <w:font w:name="方正小标宋简体">
    <w:panose1 w:val="03000509000000000000"/>
    <w:charset w:val="86"/>
    <w:family w:val="auto"/>
    <w:pitch w:val="default"/>
    <w:sig w:usb0="00000001" w:usb1="080E0000" w:usb2="00000000" w:usb3="00000000" w:csb0="00040000" w:csb1="00000000"/>
    <w:embedRegular r:id="rId4" w:fontKey="{2472BC9C-574C-48BD-A9FC-851DD3C5A79F}"/>
  </w:font>
  <w:font w:name="仿宋_GB2312">
    <w:panose1 w:val="02010609030101010101"/>
    <w:charset w:val="86"/>
    <w:family w:val="modern"/>
    <w:pitch w:val="default"/>
    <w:sig w:usb0="00000001" w:usb1="080E0000" w:usb2="00000000" w:usb3="00000000" w:csb0="00040000" w:csb1="00000000"/>
    <w:embedRegular r:id="rId5" w:fontKey="{01392B45-5CCB-4D9E-AC0F-9CCEA56A8BD7}"/>
  </w:font>
  <w:font w:name="楷体_GB2312">
    <w:panose1 w:val="02010609030101010101"/>
    <w:charset w:val="86"/>
    <w:family w:val="modern"/>
    <w:pitch w:val="default"/>
    <w:sig w:usb0="00000001" w:usb1="080E0000" w:usb2="00000000" w:usb3="00000000" w:csb0="00040000" w:csb1="00000000"/>
    <w:embedRegular r:id="rId6" w:fontKey="{5499DA40-A089-473D-B97A-4DF0A553D380}"/>
  </w:font>
  <w:font w:name="方正仿宋_GBK">
    <w:altName w:val="Microsoft YaHei UI"/>
    <w:panose1 w:val="00000000000000000000"/>
    <w:charset w:val="86"/>
    <w:family w:val="auto"/>
    <w:pitch w:val="default"/>
    <w:sig w:usb0="00000000" w:usb1="0000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方正黑体_GBK">
    <w:altName w:val="Microsoft YaHei UI"/>
    <w:panose1 w:val="00000000000000000000"/>
    <w:charset w:val="86"/>
    <w:family w:val="auto"/>
    <w:pitch w:val="default"/>
    <w:sig w:usb0="00000000" w:usb1="00000000" w:usb2="00000000" w:usb3="00000000" w:csb0="00040000" w:csb1="00000000"/>
  </w:font>
  <w:font w:name="方正楷体_GB2312">
    <w:altName w:val="微软雅黑"/>
    <w:panose1 w:val="00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1132355"/>
    </w:sdtPr>
    <w:sdtEndPr>
      <w:rPr>
        <w:rFonts w:ascii="宋体" w:hAnsi="宋体"/>
        <w:sz w:val="28"/>
        <w:szCs w:val="28"/>
      </w:rPr>
    </w:sdtEndPr>
    <w:sdtContent>
      <w:p w14:paraId="10AE2EB4">
        <w:pPr>
          <w:pStyle w:val="7"/>
          <w:jc w:val="center"/>
          <w:rPr>
            <w:rFonts w:ascii="宋体" w:hAnsi="宋体"/>
            <w:sz w:val="28"/>
            <w:szCs w:val="28"/>
          </w:rPr>
        </w:pPr>
        <w:r>
          <w:rPr>
            <w:rFonts w:hint="eastAsia" w:ascii="宋体" w:hAnsi="宋体"/>
            <w:sz w:val="28"/>
            <w:szCs w:val="28"/>
          </w:rPr>
          <w:t>-</w:t>
        </w:r>
        <w:r>
          <w:rPr>
            <w:rFonts w:ascii="宋体" w:hAnsi="宋体"/>
            <w:sz w:val="28"/>
            <w:szCs w:val="28"/>
          </w:rPr>
          <w:fldChar w:fldCharType="begin"/>
        </w:r>
        <w:r>
          <w:rPr>
            <w:rFonts w:ascii="宋体" w:hAnsi="宋体"/>
            <w:sz w:val="28"/>
            <w:szCs w:val="28"/>
          </w:rPr>
          <w:instrText xml:space="preserve">PAGE   \* MERGEFORMAT</w:instrText>
        </w:r>
        <w:r>
          <w:rPr>
            <w:rFonts w:ascii="宋体" w:hAnsi="宋体"/>
            <w:sz w:val="28"/>
            <w:szCs w:val="28"/>
          </w:rPr>
          <w:fldChar w:fldCharType="separate"/>
        </w:r>
        <w:r>
          <w:rPr>
            <w:rFonts w:ascii="宋体" w:hAnsi="宋体"/>
            <w:sz w:val="28"/>
            <w:szCs w:val="28"/>
            <w:lang w:val="zh-CN"/>
          </w:rPr>
          <w:t>10</w:t>
        </w:r>
        <w:r>
          <w:rPr>
            <w:rFonts w:ascii="宋体" w:hAnsi="宋体"/>
            <w:sz w:val="28"/>
            <w:szCs w:val="28"/>
          </w:rPr>
          <w:fldChar w:fldCharType="end"/>
        </w:r>
        <w:r>
          <w:rPr>
            <w:rFonts w:hint="eastAsia" w:ascii="宋体" w:hAnsi="宋体"/>
            <w:sz w:val="28"/>
            <w:szCs w:val="28"/>
          </w:rPr>
          <w:t>-</w:t>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2300"/>
    <w:rsid w:val="00007826"/>
    <w:rsid w:val="00014DDF"/>
    <w:rsid w:val="00020494"/>
    <w:rsid w:val="00026B0D"/>
    <w:rsid w:val="0003027D"/>
    <w:rsid w:val="000307E9"/>
    <w:rsid w:val="0003271C"/>
    <w:rsid w:val="00032DFC"/>
    <w:rsid w:val="000376C7"/>
    <w:rsid w:val="00041090"/>
    <w:rsid w:val="0005036E"/>
    <w:rsid w:val="000534A3"/>
    <w:rsid w:val="000615E5"/>
    <w:rsid w:val="00066660"/>
    <w:rsid w:val="0007387E"/>
    <w:rsid w:val="00074E22"/>
    <w:rsid w:val="0009263B"/>
    <w:rsid w:val="000A11E1"/>
    <w:rsid w:val="000A3A56"/>
    <w:rsid w:val="000A7B36"/>
    <w:rsid w:val="000B3E3E"/>
    <w:rsid w:val="000D2994"/>
    <w:rsid w:val="000E2E68"/>
    <w:rsid w:val="000F1E8D"/>
    <w:rsid w:val="000F2B37"/>
    <w:rsid w:val="000F2E5B"/>
    <w:rsid w:val="000F2F22"/>
    <w:rsid w:val="000F5744"/>
    <w:rsid w:val="000F673E"/>
    <w:rsid w:val="001205D7"/>
    <w:rsid w:val="001308EF"/>
    <w:rsid w:val="00137076"/>
    <w:rsid w:val="00143D76"/>
    <w:rsid w:val="00157C5B"/>
    <w:rsid w:val="00164FB4"/>
    <w:rsid w:val="001669AB"/>
    <w:rsid w:val="00176183"/>
    <w:rsid w:val="00196F90"/>
    <w:rsid w:val="001C1387"/>
    <w:rsid w:val="001C7250"/>
    <w:rsid w:val="001F5437"/>
    <w:rsid w:val="001F701D"/>
    <w:rsid w:val="00206A5F"/>
    <w:rsid w:val="00213BBE"/>
    <w:rsid w:val="002370ED"/>
    <w:rsid w:val="00242300"/>
    <w:rsid w:val="00251A82"/>
    <w:rsid w:val="00265A72"/>
    <w:rsid w:val="00276985"/>
    <w:rsid w:val="002814BD"/>
    <w:rsid w:val="00284CDF"/>
    <w:rsid w:val="00287C08"/>
    <w:rsid w:val="002928B6"/>
    <w:rsid w:val="0029444A"/>
    <w:rsid w:val="00294967"/>
    <w:rsid w:val="002A051E"/>
    <w:rsid w:val="002A60FB"/>
    <w:rsid w:val="002A6B2E"/>
    <w:rsid w:val="002B5CFA"/>
    <w:rsid w:val="002C469E"/>
    <w:rsid w:val="002C70A4"/>
    <w:rsid w:val="002C7C38"/>
    <w:rsid w:val="002D55F7"/>
    <w:rsid w:val="002E4B01"/>
    <w:rsid w:val="002E7880"/>
    <w:rsid w:val="002F0BC5"/>
    <w:rsid w:val="00317533"/>
    <w:rsid w:val="00321947"/>
    <w:rsid w:val="00325652"/>
    <w:rsid w:val="00332DE0"/>
    <w:rsid w:val="003340C5"/>
    <w:rsid w:val="00334F19"/>
    <w:rsid w:val="003446DA"/>
    <w:rsid w:val="00344D35"/>
    <w:rsid w:val="0034558A"/>
    <w:rsid w:val="00351629"/>
    <w:rsid w:val="00353A4B"/>
    <w:rsid w:val="00362231"/>
    <w:rsid w:val="0036489A"/>
    <w:rsid w:val="003705D5"/>
    <w:rsid w:val="003801ED"/>
    <w:rsid w:val="00390095"/>
    <w:rsid w:val="00390282"/>
    <w:rsid w:val="00395253"/>
    <w:rsid w:val="003971DA"/>
    <w:rsid w:val="003A1142"/>
    <w:rsid w:val="003B2792"/>
    <w:rsid w:val="003B2B48"/>
    <w:rsid w:val="003B4EAA"/>
    <w:rsid w:val="003C2830"/>
    <w:rsid w:val="003C33A2"/>
    <w:rsid w:val="003D6F4C"/>
    <w:rsid w:val="003E2425"/>
    <w:rsid w:val="003F3B4A"/>
    <w:rsid w:val="003F5ECD"/>
    <w:rsid w:val="003F6ADF"/>
    <w:rsid w:val="00401316"/>
    <w:rsid w:val="004111F1"/>
    <w:rsid w:val="0041538F"/>
    <w:rsid w:val="004178FC"/>
    <w:rsid w:val="00425F40"/>
    <w:rsid w:val="00431CC4"/>
    <w:rsid w:val="00433E8C"/>
    <w:rsid w:val="0044466E"/>
    <w:rsid w:val="00451F7B"/>
    <w:rsid w:val="00462915"/>
    <w:rsid w:val="00465677"/>
    <w:rsid w:val="00491142"/>
    <w:rsid w:val="00497FC8"/>
    <w:rsid w:val="004B5436"/>
    <w:rsid w:val="004B5C0C"/>
    <w:rsid w:val="004B7ABD"/>
    <w:rsid w:val="004C0180"/>
    <w:rsid w:val="004D32EF"/>
    <w:rsid w:val="004D3FA3"/>
    <w:rsid w:val="004D7AE2"/>
    <w:rsid w:val="004E0B87"/>
    <w:rsid w:val="004E19BE"/>
    <w:rsid w:val="004E6636"/>
    <w:rsid w:val="004F4C32"/>
    <w:rsid w:val="004F6DDB"/>
    <w:rsid w:val="00502A57"/>
    <w:rsid w:val="00502D73"/>
    <w:rsid w:val="00517325"/>
    <w:rsid w:val="0052175A"/>
    <w:rsid w:val="005301F8"/>
    <w:rsid w:val="00543CBD"/>
    <w:rsid w:val="005457D3"/>
    <w:rsid w:val="005506B5"/>
    <w:rsid w:val="00554A02"/>
    <w:rsid w:val="00570F04"/>
    <w:rsid w:val="00573864"/>
    <w:rsid w:val="00574558"/>
    <w:rsid w:val="00584610"/>
    <w:rsid w:val="00585742"/>
    <w:rsid w:val="00590CB3"/>
    <w:rsid w:val="005913AB"/>
    <w:rsid w:val="0059638D"/>
    <w:rsid w:val="005A3F7C"/>
    <w:rsid w:val="005A6C05"/>
    <w:rsid w:val="005A7675"/>
    <w:rsid w:val="005B07B8"/>
    <w:rsid w:val="005B52D9"/>
    <w:rsid w:val="005B709F"/>
    <w:rsid w:val="005C0297"/>
    <w:rsid w:val="005C2772"/>
    <w:rsid w:val="005C7676"/>
    <w:rsid w:val="005D71C0"/>
    <w:rsid w:val="005E10E3"/>
    <w:rsid w:val="005E15F0"/>
    <w:rsid w:val="005E1628"/>
    <w:rsid w:val="005E1D2E"/>
    <w:rsid w:val="005E3E87"/>
    <w:rsid w:val="005F4739"/>
    <w:rsid w:val="006008CF"/>
    <w:rsid w:val="0060468A"/>
    <w:rsid w:val="00621E83"/>
    <w:rsid w:val="00623A27"/>
    <w:rsid w:val="006244FE"/>
    <w:rsid w:val="00626136"/>
    <w:rsid w:val="0062628A"/>
    <w:rsid w:val="00627E25"/>
    <w:rsid w:val="00631859"/>
    <w:rsid w:val="00640ABA"/>
    <w:rsid w:val="00641834"/>
    <w:rsid w:val="0064190A"/>
    <w:rsid w:val="00643643"/>
    <w:rsid w:val="00647B94"/>
    <w:rsid w:val="00662847"/>
    <w:rsid w:val="00665F9E"/>
    <w:rsid w:val="006830DA"/>
    <w:rsid w:val="0069689E"/>
    <w:rsid w:val="006C0863"/>
    <w:rsid w:val="006C6D8A"/>
    <w:rsid w:val="006D0B64"/>
    <w:rsid w:val="006D117E"/>
    <w:rsid w:val="006E13EC"/>
    <w:rsid w:val="006E7068"/>
    <w:rsid w:val="006F0A98"/>
    <w:rsid w:val="006F64AB"/>
    <w:rsid w:val="006F658C"/>
    <w:rsid w:val="00736DAC"/>
    <w:rsid w:val="0074019E"/>
    <w:rsid w:val="00740A1C"/>
    <w:rsid w:val="007446B6"/>
    <w:rsid w:val="00750D17"/>
    <w:rsid w:val="00751938"/>
    <w:rsid w:val="00754750"/>
    <w:rsid w:val="007549B8"/>
    <w:rsid w:val="00765740"/>
    <w:rsid w:val="00785087"/>
    <w:rsid w:val="007A29AA"/>
    <w:rsid w:val="007B4841"/>
    <w:rsid w:val="007C29A7"/>
    <w:rsid w:val="007C31A8"/>
    <w:rsid w:val="007C3607"/>
    <w:rsid w:val="007C3905"/>
    <w:rsid w:val="007D01F2"/>
    <w:rsid w:val="007D6E3B"/>
    <w:rsid w:val="007F15EC"/>
    <w:rsid w:val="007F741F"/>
    <w:rsid w:val="00801AEF"/>
    <w:rsid w:val="00805946"/>
    <w:rsid w:val="00825FE7"/>
    <w:rsid w:val="00833E24"/>
    <w:rsid w:val="00853179"/>
    <w:rsid w:val="00864776"/>
    <w:rsid w:val="0089114C"/>
    <w:rsid w:val="008A03B4"/>
    <w:rsid w:val="008A21FE"/>
    <w:rsid w:val="008A6234"/>
    <w:rsid w:val="008A6A20"/>
    <w:rsid w:val="008F1891"/>
    <w:rsid w:val="008F3ECF"/>
    <w:rsid w:val="009266BA"/>
    <w:rsid w:val="0092748E"/>
    <w:rsid w:val="00927BC0"/>
    <w:rsid w:val="0093691E"/>
    <w:rsid w:val="00937644"/>
    <w:rsid w:val="00951BCD"/>
    <w:rsid w:val="00966093"/>
    <w:rsid w:val="00966229"/>
    <w:rsid w:val="0097695C"/>
    <w:rsid w:val="0098157F"/>
    <w:rsid w:val="0098613F"/>
    <w:rsid w:val="0099091D"/>
    <w:rsid w:val="00990ADB"/>
    <w:rsid w:val="009A29DC"/>
    <w:rsid w:val="009A65E7"/>
    <w:rsid w:val="009A694E"/>
    <w:rsid w:val="009B0510"/>
    <w:rsid w:val="009B08CF"/>
    <w:rsid w:val="009B49EE"/>
    <w:rsid w:val="009C2242"/>
    <w:rsid w:val="009C689E"/>
    <w:rsid w:val="009D0307"/>
    <w:rsid w:val="009E1E3B"/>
    <w:rsid w:val="009E6C1C"/>
    <w:rsid w:val="009F133A"/>
    <w:rsid w:val="00A02AA7"/>
    <w:rsid w:val="00A15815"/>
    <w:rsid w:val="00A1675C"/>
    <w:rsid w:val="00A31783"/>
    <w:rsid w:val="00A47899"/>
    <w:rsid w:val="00A47C82"/>
    <w:rsid w:val="00A5659F"/>
    <w:rsid w:val="00A57FEB"/>
    <w:rsid w:val="00A61139"/>
    <w:rsid w:val="00A76586"/>
    <w:rsid w:val="00A8173A"/>
    <w:rsid w:val="00AA7EBF"/>
    <w:rsid w:val="00AB29FC"/>
    <w:rsid w:val="00AB4D78"/>
    <w:rsid w:val="00AB510C"/>
    <w:rsid w:val="00AC1A09"/>
    <w:rsid w:val="00AC31AB"/>
    <w:rsid w:val="00AC3B1B"/>
    <w:rsid w:val="00AC41C4"/>
    <w:rsid w:val="00AD229C"/>
    <w:rsid w:val="00AE6642"/>
    <w:rsid w:val="00AE7D7F"/>
    <w:rsid w:val="00B03189"/>
    <w:rsid w:val="00B2395E"/>
    <w:rsid w:val="00B23C82"/>
    <w:rsid w:val="00B2644B"/>
    <w:rsid w:val="00B311C4"/>
    <w:rsid w:val="00B4240B"/>
    <w:rsid w:val="00B5136E"/>
    <w:rsid w:val="00B65D34"/>
    <w:rsid w:val="00B83A66"/>
    <w:rsid w:val="00B85085"/>
    <w:rsid w:val="00B92EDD"/>
    <w:rsid w:val="00B93EC0"/>
    <w:rsid w:val="00B95932"/>
    <w:rsid w:val="00B95DFE"/>
    <w:rsid w:val="00BA2761"/>
    <w:rsid w:val="00BB3C8C"/>
    <w:rsid w:val="00BB50FA"/>
    <w:rsid w:val="00BC57C7"/>
    <w:rsid w:val="00BC5B7A"/>
    <w:rsid w:val="00BD074A"/>
    <w:rsid w:val="00BE2C30"/>
    <w:rsid w:val="00BE3BB1"/>
    <w:rsid w:val="00C0781D"/>
    <w:rsid w:val="00C15373"/>
    <w:rsid w:val="00C15A01"/>
    <w:rsid w:val="00C176ED"/>
    <w:rsid w:val="00C21616"/>
    <w:rsid w:val="00C27A85"/>
    <w:rsid w:val="00C3045B"/>
    <w:rsid w:val="00C30AD5"/>
    <w:rsid w:val="00C345EA"/>
    <w:rsid w:val="00C35AE1"/>
    <w:rsid w:val="00C450FC"/>
    <w:rsid w:val="00C5223B"/>
    <w:rsid w:val="00C655EA"/>
    <w:rsid w:val="00C7078F"/>
    <w:rsid w:val="00C70882"/>
    <w:rsid w:val="00C86F81"/>
    <w:rsid w:val="00C935F0"/>
    <w:rsid w:val="00C973C4"/>
    <w:rsid w:val="00CA0C28"/>
    <w:rsid w:val="00CA5F73"/>
    <w:rsid w:val="00CB488A"/>
    <w:rsid w:val="00CC11B4"/>
    <w:rsid w:val="00CD22F7"/>
    <w:rsid w:val="00CD7532"/>
    <w:rsid w:val="00CF2555"/>
    <w:rsid w:val="00D07900"/>
    <w:rsid w:val="00D07DC2"/>
    <w:rsid w:val="00D10DF5"/>
    <w:rsid w:val="00D20F56"/>
    <w:rsid w:val="00D30AA6"/>
    <w:rsid w:val="00D32D26"/>
    <w:rsid w:val="00D50409"/>
    <w:rsid w:val="00D5590A"/>
    <w:rsid w:val="00D70BCF"/>
    <w:rsid w:val="00D74C33"/>
    <w:rsid w:val="00D755E3"/>
    <w:rsid w:val="00D80967"/>
    <w:rsid w:val="00D87CA9"/>
    <w:rsid w:val="00D91960"/>
    <w:rsid w:val="00DA0913"/>
    <w:rsid w:val="00DA0DA6"/>
    <w:rsid w:val="00DA2E46"/>
    <w:rsid w:val="00DB1878"/>
    <w:rsid w:val="00DC1259"/>
    <w:rsid w:val="00DC6163"/>
    <w:rsid w:val="00DC770E"/>
    <w:rsid w:val="00DD2779"/>
    <w:rsid w:val="00DE3A94"/>
    <w:rsid w:val="00DE3CEA"/>
    <w:rsid w:val="00E014F2"/>
    <w:rsid w:val="00E020CE"/>
    <w:rsid w:val="00E03BA8"/>
    <w:rsid w:val="00E3169F"/>
    <w:rsid w:val="00E3389F"/>
    <w:rsid w:val="00E41A4F"/>
    <w:rsid w:val="00E45345"/>
    <w:rsid w:val="00E519DC"/>
    <w:rsid w:val="00E609C0"/>
    <w:rsid w:val="00E75C00"/>
    <w:rsid w:val="00E93686"/>
    <w:rsid w:val="00E95551"/>
    <w:rsid w:val="00EB422A"/>
    <w:rsid w:val="00EC73AE"/>
    <w:rsid w:val="00ED64C0"/>
    <w:rsid w:val="00EE3083"/>
    <w:rsid w:val="00EE65CF"/>
    <w:rsid w:val="00F011CA"/>
    <w:rsid w:val="00F17988"/>
    <w:rsid w:val="00F25A55"/>
    <w:rsid w:val="00F26891"/>
    <w:rsid w:val="00F37164"/>
    <w:rsid w:val="00F37E4C"/>
    <w:rsid w:val="00F46C5D"/>
    <w:rsid w:val="00F64337"/>
    <w:rsid w:val="00F669CC"/>
    <w:rsid w:val="00F70B94"/>
    <w:rsid w:val="00F757B1"/>
    <w:rsid w:val="00F77A44"/>
    <w:rsid w:val="00F82A1C"/>
    <w:rsid w:val="00F839C4"/>
    <w:rsid w:val="00F84A9C"/>
    <w:rsid w:val="00F94DC7"/>
    <w:rsid w:val="00FA4E60"/>
    <w:rsid w:val="00FB040A"/>
    <w:rsid w:val="00FB04BC"/>
    <w:rsid w:val="00FB0536"/>
    <w:rsid w:val="00FB096F"/>
    <w:rsid w:val="00FB18A0"/>
    <w:rsid w:val="00FB1FC7"/>
    <w:rsid w:val="00FB29C8"/>
    <w:rsid w:val="00FB3C82"/>
    <w:rsid w:val="00FB6FD0"/>
    <w:rsid w:val="00FD5DF7"/>
    <w:rsid w:val="00FE14DC"/>
    <w:rsid w:val="00FE5DCE"/>
    <w:rsid w:val="00FF1D1C"/>
    <w:rsid w:val="030E7E36"/>
    <w:rsid w:val="0D211BD2"/>
    <w:rsid w:val="0DAB2E51"/>
    <w:rsid w:val="0EBA5CB8"/>
    <w:rsid w:val="11EC0FF2"/>
    <w:rsid w:val="17306175"/>
    <w:rsid w:val="2B9952EB"/>
    <w:rsid w:val="2C395116"/>
    <w:rsid w:val="2D695D0D"/>
    <w:rsid w:val="3E7E7642"/>
    <w:rsid w:val="447137A5"/>
    <w:rsid w:val="45935D6C"/>
    <w:rsid w:val="4D626381"/>
    <w:rsid w:val="4DD13378"/>
    <w:rsid w:val="5107568B"/>
    <w:rsid w:val="513D5B28"/>
    <w:rsid w:val="58B43CAD"/>
    <w:rsid w:val="5E8C743B"/>
    <w:rsid w:val="60441AFF"/>
    <w:rsid w:val="6E4F1DD9"/>
    <w:rsid w:val="6F6840AB"/>
    <w:rsid w:val="70857DED"/>
    <w:rsid w:val="74366039"/>
    <w:rsid w:val="771B5D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link w:val="23"/>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4">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6"/>
    <w:qFormat/>
    <w:uiPriority w:val="99"/>
    <w:pPr>
      <w:jc w:val="left"/>
    </w:pPr>
  </w:style>
  <w:style w:type="paragraph" w:styleId="5">
    <w:name w:val="toc 3"/>
    <w:basedOn w:val="1"/>
    <w:next w:val="1"/>
    <w:autoRedefine/>
    <w:unhideWhenUsed/>
    <w:qFormat/>
    <w:uiPriority w:val="39"/>
    <w:pPr>
      <w:widowControl/>
      <w:spacing w:after="100" w:line="259" w:lineRule="auto"/>
      <w:ind w:left="440"/>
      <w:jc w:val="left"/>
    </w:pPr>
    <w:rPr>
      <w:rFonts w:cs="Times New Roman" w:asciiTheme="minorHAnsi" w:hAnsiTheme="minorHAnsi" w:eastAsiaTheme="minorEastAsia"/>
      <w:kern w:val="0"/>
      <w:sz w:val="22"/>
    </w:rPr>
  </w:style>
  <w:style w:type="paragraph" w:styleId="6">
    <w:name w:val="Balloon Text"/>
    <w:basedOn w:val="1"/>
    <w:link w:val="19"/>
    <w:qFormat/>
    <w:uiPriority w:val="99"/>
    <w:rPr>
      <w:sz w:val="18"/>
      <w:szCs w:val="18"/>
    </w:rPr>
  </w:style>
  <w:style w:type="paragraph" w:styleId="7">
    <w:name w:val="footer"/>
    <w:basedOn w:val="1"/>
    <w:link w:val="18"/>
    <w:qFormat/>
    <w:uiPriority w:val="99"/>
    <w:pPr>
      <w:tabs>
        <w:tab w:val="center" w:pos="4153"/>
        <w:tab w:val="right" w:pos="8306"/>
      </w:tabs>
      <w:snapToGrid w:val="0"/>
      <w:jc w:val="left"/>
    </w:pPr>
    <w:rPr>
      <w:sz w:val="18"/>
      <w:szCs w:val="18"/>
    </w:rPr>
  </w:style>
  <w:style w:type="paragraph" w:styleId="8">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autoRedefine/>
    <w:unhideWhenUsed/>
    <w:qFormat/>
    <w:uiPriority w:val="39"/>
    <w:pPr>
      <w:widowControl/>
      <w:tabs>
        <w:tab w:val="right" w:leader="dot" w:pos="8296"/>
      </w:tabs>
      <w:spacing w:after="100" w:line="259" w:lineRule="auto"/>
      <w:jc w:val="left"/>
    </w:pPr>
    <w:rPr>
      <w:rFonts w:cs="Times New Roman" w:asciiTheme="minorHAnsi" w:hAnsiTheme="minorHAnsi" w:eastAsiaTheme="minorEastAsia"/>
      <w:kern w:val="0"/>
      <w:sz w:val="22"/>
    </w:rPr>
  </w:style>
  <w:style w:type="paragraph" w:styleId="10">
    <w:name w:val="toc 2"/>
    <w:basedOn w:val="1"/>
    <w:next w:val="1"/>
    <w:autoRedefine/>
    <w:unhideWhenUsed/>
    <w:qFormat/>
    <w:uiPriority w:val="39"/>
    <w:pPr>
      <w:widowControl/>
      <w:spacing w:after="100" w:line="259" w:lineRule="auto"/>
      <w:ind w:left="220"/>
      <w:jc w:val="left"/>
    </w:pPr>
    <w:rPr>
      <w:rFonts w:cs="Times New Roman" w:asciiTheme="minorHAnsi" w:hAnsiTheme="minorHAnsi" w:eastAsiaTheme="minorEastAsia"/>
      <w:kern w:val="0"/>
      <w:sz w:val="22"/>
    </w:rPr>
  </w:style>
  <w:style w:type="paragraph" w:styleId="11">
    <w:name w:val="annotation subject"/>
    <w:basedOn w:val="4"/>
    <w:next w:val="4"/>
    <w:link w:val="27"/>
    <w:semiHidden/>
    <w:unhideWhenUsed/>
    <w:qFormat/>
    <w:uiPriority w:val="99"/>
    <w:rPr>
      <w:b/>
      <w:bCs/>
    </w:rPr>
  </w:style>
  <w:style w:type="table" w:styleId="13">
    <w:name w:val="Table Grid"/>
    <w:basedOn w:val="1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Hyperlink"/>
    <w:basedOn w:val="14"/>
    <w:autoRedefine/>
    <w:unhideWhenUsed/>
    <w:qFormat/>
    <w:uiPriority w:val="99"/>
    <w:rPr>
      <w:color w:val="0000FF" w:themeColor="hyperlink"/>
      <w:u w:val="single"/>
      <w14:textFill>
        <w14:solidFill>
          <w14:schemeClr w14:val="hlink"/>
        </w14:solidFill>
      </w14:textFill>
    </w:rPr>
  </w:style>
  <w:style w:type="character" w:styleId="16">
    <w:name w:val="annotation reference"/>
    <w:basedOn w:val="14"/>
    <w:qFormat/>
    <w:uiPriority w:val="99"/>
    <w:rPr>
      <w:sz w:val="21"/>
      <w:szCs w:val="21"/>
    </w:rPr>
  </w:style>
  <w:style w:type="character" w:customStyle="1" w:styleId="17">
    <w:name w:val="页眉 字符"/>
    <w:basedOn w:val="14"/>
    <w:link w:val="8"/>
    <w:qFormat/>
    <w:uiPriority w:val="99"/>
    <w:rPr>
      <w:sz w:val="18"/>
      <w:szCs w:val="18"/>
    </w:rPr>
  </w:style>
  <w:style w:type="character" w:customStyle="1" w:styleId="18">
    <w:name w:val="页脚 字符"/>
    <w:basedOn w:val="14"/>
    <w:link w:val="7"/>
    <w:qFormat/>
    <w:uiPriority w:val="99"/>
    <w:rPr>
      <w:sz w:val="18"/>
      <w:szCs w:val="18"/>
    </w:rPr>
  </w:style>
  <w:style w:type="character" w:customStyle="1" w:styleId="19">
    <w:name w:val="批注框文本 字符"/>
    <w:basedOn w:val="14"/>
    <w:link w:val="6"/>
    <w:qFormat/>
    <w:uiPriority w:val="99"/>
    <w:rPr>
      <w:kern w:val="2"/>
      <w:sz w:val="18"/>
      <w:szCs w:val="18"/>
    </w:rPr>
  </w:style>
  <w:style w:type="paragraph" w:customStyle="1" w:styleId="20">
    <w:name w:val="修订1"/>
    <w:qFormat/>
    <w:uiPriority w:val="99"/>
    <w:rPr>
      <w:rFonts w:ascii="Calibri" w:hAnsi="Calibri" w:eastAsia="宋体" w:cs="宋体"/>
      <w:kern w:val="2"/>
      <w:sz w:val="21"/>
      <w:szCs w:val="22"/>
      <w:lang w:val="en-US" w:eastAsia="zh-CN" w:bidi="ar-SA"/>
    </w:rPr>
  </w:style>
  <w:style w:type="table" w:customStyle="1" w:styleId="21">
    <w:name w:val="网格型1"/>
    <w:basedOn w:val="12"/>
    <w:qFormat/>
    <w:uiPriority w:val="0"/>
    <w:pPr>
      <w:widowControl w:val="0"/>
      <w:jc w:val="both"/>
    </w:pPr>
    <w:rPr>
      <w:rFonts w:ascii="Times New Roman" w:hAnsi="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2">
    <w:name w:val="修订2"/>
    <w:hidden/>
    <w:semiHidden/>
    <w:qFormat/>
    <w:uiPriority w:val="99"/>
    <w:rPr>
      <w:rFonts w:ascii="Calibri" w:hAnsi="Calibri" w:eastAsia="宋体" w:cs="宋体"/>
      <w:kern w:val="2"/>
      <w:sz w:val="21"/>
      <w:szCs w:val="22"/>
      <w:lang w:val="en-US" w:eastAsia="zh-CN" w:bidi="ar-SA"/>
    </w:rPr>
  </w:style>
  <w:style w:type="character" w:customStyle="1" w:styleId="23">
    <w:name w:val="标题 1 字符"/>
    <w:basedOn w:val="14"/>
    <w:link w:val="2"/>
    <w:qFormat/>
    <w:uiPriority w:val="9"/>
    <w:rPr>
      <w:b/>
      <w:bCs/>
      <w:kern w:val="44"/>
      <w:sz w:val="44"/>
      <w:szCs w:val="44"/>
    </w:rPr>
  </w:style>
  <w:style w:type="paragraph" w:customStyle="1" w:styleId="24">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25">
    <w:name w:val="TOC 标题1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character" w:customStyle="1" w:styleId="26">
    <w:name w:val="批注文字 字符"/>
    <w:basedOn w:val="14"/>
    <w:link w:val="4"/>
    <w:qFormat/>
    <w:uiPriority w:val="99"/>
    <w:rPr>
      <w:kern w:val="2"/>
      <w:sz w:val="21"/>
      <w:szCs w:val="22"/>
    </w:rPr>
  </w:style>
  <w:style w:type="character" w:customStyle="1" w:styleId="27">
    <w:name w:val="批注主题 字符"/>
    <w:basedOn w:val="26"/>
    <w:link w:val="11"/>
    <w:semiHidden/>
    <w:qFormat/>
    <w:uiPriority w:val="99"/>
    <w:rPr>
      <w:b/>
      <w:bCs/>
      <w:kern w:val="2"/>
      <w:sz w:val="21"/>
      <w:szCs w:val="22"/>
    </w:rPr>
  </w:style>
  <w:style w:type="paragraph" w:styleId="28">
    <w:name w:val="Quote"/>
    <w:basedOn w:val="1"/>
    <w:next w:val="1"/>
    <w:link w:val="2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4"/>
    <w:link w:val="28"/>
    <w:qFormat/>
    <w:uiPriority w:val="29"/>
    <w:rPr>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0">
    <w:name w:val="标题 2 字符"/>
    <w:basedOn w:val="14"/>
    <w:link w:val="3"/>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81A8F-7BEF-4DED-AE41-A6750E4089B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Pages>
  <Words>23</Words>
  <Characters>23</Characters>
  <Lines>28</Lines>
  <Paragraphs>8</Paragraphs>
  <TotalTime>11</TotalTime>
  <ScaleCrop>false</ScaleCrop>
  <LinksUpToDate>false</LinksUpToDate>
  <CharactersWithSpaces>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2026-10-19T08:48:00Z</dcterms:created>
  <dc:creator>admin</dc:creator>
  <cp:lastModifiedBy>裴新荣</cp:lastModifiedBy>
  <cp:lastPrinted>2024-03-28T05:41:00Z</cp:lastPrinted>
  <dcterms:modified xsi:type="dcterms:W3CDTF">2026-10-28T02:57:00Z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701CF9C0D0734A2FBF4E366822913957_13</vt:lpwstr>
  </property>
  <property fmtid="{D5CDD505-2E9C-101B-9397-08002B2CF9AE}" pid="4" name="KSOTemplateDocerSaveRecord">
    <vt:lpwstr>eyJoZGlkIjoiMzc5ZTU2MThkNmRiZDhiYTk2MzdjZDYxYTYzNzRmY2MiLCJ1c2VySWQiOiI0MDU1NDk1NzYifQ==</vt:lpwstr>
  </property>
</Properties>
</file>